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140BBF04" w:rsidR="005E6A84" w:rsidRDefault="00652F98" w:rsidP="009919C1">
      <w:pPr>
        <w:tabs>
          <w:tab w:val="left" w:pos="2711"/>
        </w:tabs>
        <w:rPr>
          <w:rFonts w:ascii="Arial" w:hAnsi="Arial" w:cs="Arial"/>
        </w:rPr>
      </w:pPr>
      <w:r>
        <w:rPr>
          <w:rFonts w:ascii="Arial" w:hAnsi="Arial" w:cs="Arial"/>
        </w:rPr>
        <w:tab/>
      </w: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t>Methodology;</w:t>
      </w:r>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Derivation of the Transmission Network Use of System Energy Consumption Tariff and Short Term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3D436D62" w14:textId="4CEFBD1E" w:rsidR="00395DA6" w:rsidRPr="00EC7EB8" w:rsidRDefault="00C702D5" w:rsidP="00AB6E08">
      <w:pPr>
        <w:pStyle w:val="BodyText"/>
        <w:rPr>
          <w:rFonts w:ascii="Arial" w:hAnsi="Arial" w:cs="Arial"/>
        </w:rPr>
      </w:pPr>
      <w:r w:rsidRPr="006351F1">
        <w:rPr>
          <w:rFonts w:ascii="Arial" w:hAnsi="Arial"/>
        </w:rPr>
        <w:t>CUSC Section 14 Schedule 1 - Calculation of charges that fall within the Connection Exclusion EU Regulation 838/2010</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for Double Busbar type connections, are those single user assets connecting the User’s assets and the first  transmission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for teed or mesh connections, are those single user assets from the User’s assets up to, but not including, the HV disconnector or the equivalent point of isolation;</w:t>
      </w:r>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Pre Vesting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asset;</w:t>
      </w:r>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formula set out in paragraph 14.3.6.  For Pre Vesting connection assets commissioned on or before 30 March 1990, the original cost is the 1996/97 charging GAV (MEA re-valued from vesting). The original costs of Post Vesting assets are calculated based on historical cost information provided by the transmission licensee’s.</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061D6F">
        <w:t xml:space="preserve"> TOPI</w:t>
      </w:r>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calculated;</w:t>
      </w:r>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If the asset was commissioned at a Connection Site where, due to specific conditions, the asset cost more than the standard MEA value, the ratio would be greater than 1. For example, if an asset cost 10% more to construct and commission than the typical asset the MEA ratio would be 1.1.  If, however, the asset was found only to cost 90% of the typical MEA value the ratio would be 0.9;</w:t>
      </w:r>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Amount;</w:t>
      </w:r>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00061D6F">
        <w:t xml:space="preserve">TOPI </w:t>
      </w:r>
      <w:r>
        <w:t xml:space="preserve"> formula used in </w:t>
      </w:r>
      <w:r w:rsidR="00061D6F">
        <w:t xml:space="preserve"> the Transmission Owner’s </w:t>
      </w:r>
      <w:r>
        <w:t>Price Control.  April GAVs for subsequent</w:t>
      </w:r>
      <w:r w:rsidR="00061D6F">
        <w:t xml:space="preserve"> </w:t>
      </w:r>
      <w:r w:rsidR="00587248" w:rsidRPr="00195B72">
        <w:rPr>
          <w:b/>
          <w:bCs/>
        </w:rPr>
        <w:t>Financial</w:t>
      </w:r>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r w:rsidR="00061D6F">
        <w:t>TOPI</w:t>
      </w:r>
      <w:r>
        <w:rPr>
          <w:vertAlign w:val="subscript"/>
        </w:rPr>
        <w:t>n</w:t>
      </w:r>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(mid year) depreciated GAV of the asset.  The following formula calculates the NAV of an asset, where A</w:t>
      </w:r>
      <w:r>
        <w:rPr>
          <w:vertAlign w:val="subscript"/>
        </w:rPr>
        <w:t>n</w:t>
      </w:r>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r>
        <w:t>40 year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r>
        <w:t>addition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commissioning </w:t>
      </w:r>
      <w:r>
        <w:t xml:space="preserve"> will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is </w:t>
      </w:r>
      <w:r w:rsidR="00225419">
        <w:t xml:space="preserve"> a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annual charges based on depreciation periods other than 40 years;</w:t>
      </w:r>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annuity based charging;</w:t>
      </w:r>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payable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Capital Components of the Connection charge for Pre Vesting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Price Control;</w:t>
      </w:r>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r>
        <w:t>40 year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The non-capital component of the connection charge is divided into two parts, as set out below.  Both of these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site specific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at  </w:t>
      </w:r>
      <w:r w:rsidR="00F51AF2">
        <w:rPr>
          <w:rFonts w:ascii="Arial" w:hAnsi="Arial" w:cs="Arial"/>
          <w:sz w:val="22"/>
          <w:szCs w:val="22"/>
        </w:rPr>
        <w:t xml:space="preserve">the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Site Specific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Annual Connection Charge</w:t>
      </w:r>
      <w:r w:rsidRPr="00094C68">
        <w:rPr>
          <w:rFonts w:ascii="Arial" w:hAnsi="Arial" w:cs="Arial"/>
          <w:sz w:val="22"/>
          <w:szCs w:val="22"/>
          <w:vertAlign w:val="subscript"/>
        </w:rPr>
        <w:t>n</w:t>
      </w:r>
      <w:r w:rsidRPr="00094C68">
        <w:rPr>
          <w:rFonts w:ascii="Arial" w:hAnsi="Arial" w:cs="Arial"/>
          <w:sz w:val="22"/>
          <w:szCs w:val="22"/>
        </w:rPr>
        <w:t xml:space="preserve"> = D</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(NAV</w:t>
      </w:r>
      <w:r w:rsidRPr="00094C68">
        <w:rPr>
          <w:rFonts w:ascii="Arial" w:hAnsi="Arial" w:cs="Arial"/>
          <w:sz w:val="22"/>
          <w:szCs w:val="22"/>
          <w:vertAlign w:val="subscript"/>
        </w:rPr>
        <w:t>n</w:t>
      </w:r>
      <w:r w:rsidRPr="00094C68">
        <w:rPr>
          <w:rFonts w:ascii="Arial" w:hAnsi="Arial" w:cs="Arial"/>
          <w:sz w:val="22"/>
          <w:szCs w:val="22"/>
        </w:rPr>
        <w:t>) + SSF</w:t>
      </w:r>
      <w:r w:rsidRPr="00094C68">
        <w:rPr>
          <w:rFonts w:ascii="Arial" w:hAnsi="Arial" w:cs="Arial"/>
          <w:sz w:val="22"/>
          <w:szCs w:val="22"/>
          <w:vertAlign w:val="subscript"/>
        </w:rPr>
        <w:t>n</w:t>
      </w:r>
      <w:r w:rsidRPr="00094C68">
        <w:rPr>
          <w:rFonts w:ascii="Arial" w:hAnsi="Arial" w:cs="Arial"/>
          <w:sz w:val="22"/>
          <w:szCs w:val="22"/>
        </w:rPr>
        <w:t xml:space="preserve"> (</w:t>
      </w:r>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rPr>
        <w:t>) + TC</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(WACCn).</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(WACCn)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WACCn</w:t>
      </w:r>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on the basis of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asset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Annual Connection Charge</w:t>
      </w:r>
      <w:r>
        <w:rPr>
          <w:vertAlign w:val="subscript"/>
        </w:rPr>
        <w:t>n</w:t>
      </w:r>
      <w:r>
        <w:t xml:space="preserve">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Annual Connection Charge</w:t>
      </w:r>
      <w:r>
        <w:rPr>
          <w:vertAlign w:val="subscript"/>
        </w:rPr>
        <w:t>n</w:t>
      </w:r>
      <w:r>
        <w:t xml:space="preserve"> = D</w:t>
      </w:r>
      <w:r>
        <w:rPr>
          <w:vertAlign w:val="subscript"/>
        </w:rPr>
        <w:t>n</w:t>
      </w:r>
      <w:r>
        <w:t xml:space="preserve"> (GAV</w:t>
      </w:r>
      <w:r>
        <w:rPr>
          <w:vertAlign w:val="subscript"/>
        </w:rPr>
        <w:t>n</w:t>
      </w:r>
      <w:r>
        <w:t>*PCCF) + R</w:t>
      </w:r>
      <w:r>
        <w:rPr>
          <w:vertAlign w:val="subscript"/>
        </w:rPr>
        <w:t>n</w:t>
      </w:r>
      <w:r>
        <w:t xml:space="preserve"> (NAV</w:t>
      </w:r>
      <w:r>
        <w:rPr>
          <w:vertAlign w:val="subscript"/>
        </w:rPr>
        <w:t>n</w:t>
      </w:r>
      <w:r>
        <w:t>*PCCF)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Factor taking into account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charges as described in </w:t>
      </w:r>
      <w:r>
        <w:rPr>
          <w:b/>
        </w:rPr>
        <w:t xml:space="preserve">Chapter 5 </w:t>
      </w:r>
      <w:r>
        <w:t>below will be charged for any existing connection assets made redundant as a result of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Where a non-standard incremental cost is incurred as a result of a User's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Category 1 Intertripping Scheme</w:t>
      </w:r>
      <w:r>
        <w:t xml:space="preserve"> or a </w:t>
      </w:r>
      <w:r>
        <w:rPr>
          <w:b/>
          <w:bCs/>
        </w:rPr>
        <w:t>Category 3 Intertripping Scheme</w:t>
      </w:r>
      <w:r>
        <w:t xml:space="preserve">. A one-off charge will </w:t>
      </w:r>
      <w:r>
        <w:rPr>
          <w:b/>
          <w:bCs/>
          <w:u w:val="single"/>
        </w:rPr>
        <w:t>not</w:t>
      </w:r>
      <w:r>
        <w:t xml:space="preserve"> be levied for a </w:t>
      </w:r>
      <w:r>
        <w:rPr>
          <w:b/>
          <w:bCs/>
        </w:rPr>
        <w:t>Category 2 Intertripping Scheme</w:t>
      </w:r>
      <w:r>
        <w:t xml:space="preserve"> or a </w:t>
      </w:r>
      <w:r>
        <w:rPr>
          <w:b/>
          <w:bCs/>
        </w:rPr>
        <w:t>Category 4 Intertripping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period it is termed a Transmission Charge. It is usually a depreciating finance charge or annuity based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40 year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r>
        <w:t>Outturning the Indicative Agreement</w:t>
      </w:r>
      <w:bookmarkEnd w:id="74"/>
      <w:bookmarkEnd w:id="75"/>
      <w:bookmarkEnd w:id="76"/>
      <w:bookmarkEnd w:id="77"/>
    </w:p>
    <w:p w14:paraId="295282BC" w14:textId="77777777" w:rsidR="00225419" w:rsidRDefault="00225419">
      <w:pPr>
        <w:pStyle w:val="1"/>
        <w:keepNext/>
        <w:jc w:val="both"/>
      </w:pPr>
    </w:p>
    <w:p w14:paraId="5D6E2E9A" w14:textId="5A13FBA7"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"outturned".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5642D4">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58DF2057"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5642D4">
        <w:t>14.3.10</w:t>
      </w:r>
      <w:r>
        <w:fldChar w:fldCharType="end"/>
      </w:r>
      <w:r>
        <w:t xml:space="preserve"> above, firm price agreements are also available.  Typically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all of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15</w:t>
      </w:r>
      <w:r>
        <w:rPr>
          <w:vertAlign w:val="superscript"/>
        </w:rPr>
        <w:t>th</w:t>
      </w:r>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5B03A488"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5642D4">
        <w:t>14.4.8</w:t>
      </w:r>
      <w:r>
        <w:fldChar w:fldCharType="end"/>
      </w:r>
      <w:r>
        <w:t xml:space="preserve">) and Transmission Charges (annuitised one-offs, as defined in </w:t>
      </w:r>
      <w:r>
        <w:fldChar w:fldCharType="begin"/>
      </w:r>
      <w:r>
        <w:instrText xml:space="preserve"> REF _Ref1554412 \r \h  \* MERGEFORMAT </w:instrText>
      </w:r>
      <w:r>
        <w:fldChar w:fldCharType="separate"/>
      </w:r>
      <w:r w:rsidR="005642D4">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as a result of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(TNUoS and BSUoS)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taken into account</w:t>
      </w:r>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r w:rsidRPr="00094C68">
        <w:rPr>
          <w:rFonts w:ascii="Arial" w:hAnsi="Arial" w:cs="Arial"/>
          <w:sz w:val="22"/>
          <w:szCs w:val="22"/>
          <w:lang w:val="fr-FR"/>
        </w:rPr>
        <w:t>Termination</w:t>
      </w:r>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Charge</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UoS</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C</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NAV</w:t>
      </w:r>
      <w:r w:rsidRPr="00094C68">
        <w:rPr>
          <w:rFonts w:ascii="Arial" w:hAnsi="Arial" w:cs="Arial"/>
          <w:sz w:val="22"/>
          <w:szCs w:val="22"/>
          <w:vertAlign w:val="subscript"/>
          <w:lang w:val="fr-FR"/>
        </w:rPr>
        <w:t>an</w:t>
      </w:r>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UoS</w:t>
      </w:r>
      <w:r w:rsidRPr="00094C68">
        <w:rPr>
          <w:rFonts w:ascii="Arial" w:hAnsi="Arial" w:cs="Arial"/>
          <w:sz w:val="22"/>
          <w:szCs w:val="22"/>
          <w:vertAlign w:val="subscript"/>
        </w:rPr>
        <w:t>n</w:t>
      </w:r>
      <w:r w:rsidRPr="00094C68">
        <w:rPr>
          <w:rFonts w:ascii="Arial" w:hAnsi="Arial" w:cs="Arial"/>
          <w:sz w:val="22"/>
          <w:szCs w:val="22"/>
        </w:rPr>
        <w:tab/>
        <w:t xml:space="preserve">= Outstanding Use of System Charge for year (TNUoS and BSUoS)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an</w:t>
      </w:r>
      <w:r w:rsidRPr="00094C68">
        <w:rPr>
          <w:rFonts w:ascii="Arial" w:hAnsi="Arial" w:cs="Arial"/>
          <w:sz w:val="22"/>
          <w:szCs w:val="22"/>
          <w:vertAlign w:val="subscript"/>
        </w:rPr>
        <w:tab/>
      </w:r>
      <w:r w:rsidRPr="00094C68">
        <w:rPr>
          <w:rFonts w:ascii="Arial" w:hAnsi="Arial" w:cs="Arial"/>
          <w:sz w:val="22"/>
          <w:szCs w:val="22"/>
        </w:rPr>
        <w:t xml:space="preserve">= NAV of Type A assets as at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If a circuit breaker is terminated as a result of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ground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such  Assets;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the NAV attributed to such  Assets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less any reasonable costs incurred  in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asset in use. The Net Asset Value will be calculated as if the asset had been in continuous service as a connection asset from its original commissioning date taking into account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asset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on the basis of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There are a number of situations where an asset replacement scheme may involve a change in the voltage level of a User's connection assets.  These replacement schemes can take place over a number of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In addition, if in the interim stage the User has, say, one transformer connected to the 275kV substation and one transformer connected to the 400kV substation, the charge will comprise an appropriate proportion of the HV assets at each site and not the full costs of 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t>14.9 Data Requirements</w:t>
      </w:r>
      <w:bookmarkEnd w:id="98"/>
      <w:bookmarkEnd w:id="99"/>
    </w:p>
    <w:p w14:paraId="45F8A129" w14:textId="77777777" w:rsidR="00225419" w:rsidRDefault="00225419">
      <w:pPr>
        <w:pStyle w:val="1"/>
        <w:jc w:val="both"/>
      </w:pPr>
    </w:p>
    <w:p w14:paraId="603E53D2" w14:textId="374871BB" w:rsidR="00225419" w:rsidRDefault="00225419" w:rsidP="00CD2158">
      <w:pPr>
        <w:pStyle w:val="BodyText"/>
        <w:numPr>
          <w:ilvl w:val="0"/>
          <w:numId w:val="43"/>
        </w:numPr>
        <w:spacing w:after="0"/>
        <w:ind w:left="720" w:hanging="720"/>
        <w:rPr>
          <w:rFonts w:ascii="Arial" w:hAnsi="Arial" w:cs="Arial"/>
          <w:sz w:val="22"/>
          <w:szCs w:val="22"/>
        </w:rPr>
      </w:pPr>
      <w:r w:rsidRPr="00CD2158">
        <w:rPr>
          <w:rFonts w:ascii="Arial" w:hAnsi="Arial" w:cs="Arial"/>
          <w:bCs/>
          <w:sz w:val="22"/>
          <w:szCs w:val="22"/>
        </w:rPr>
        <w:t>Under the connection charging methodology no data is required from Users in order to calculate the connection charges payable by the User.</w:t>
      </w:r>
      <w:bookmarkStart w:id="100" w:name="_Ref531686418"/>
      <w:bookmarkStart w:id="101" w:name="_Toc32208960"/>
      <w:r w:rsidR="00CD2158" w:rsidRPr="00CD2158">
        <w:rPr>
          <w:rFonts w:ascii="Arial" w:hAnsi="Arial" w:cs="Arial"/>
          <w:bCs/>
          <w:sz w:val="22"/>
          <w:szCs w:val="22"/>
        </w:rPr>
        <w:t xml:space="preserve"> </w:t>
      </w:r>
      <w:r w:rsidRPr="00CD2158">
        <w:rPr>
          <w:rFonts w:ascii="Arial" w:hAnsi="Arial" w:cs="Arial"/>
          <w:sz w:val="22"/>
          <w:szCs w:val="22"/>
        </w:rPr>
        <w:t xml:space="preserve"> </w:t>
      </w:r>
    </w:p>
    <w:p w14:paraId="2677DB7C" w14:textId="77777777" w:rsidR="00CD2158" w:rsidRPr="00CD2158" w:rsidRDefault="00CD2158" w:rsidP="00CD2158">
      <w:pPr>
        <w:pStyle w:val="BodyText"/>
        <w:spacing w:after="0"/>
        <w:rPr>
          <w:rFonts w:ascii="Arial" w:hAnsi="Arial" w:cs="Arial"/>
          <w:sz w:val="22"/>
          <w:szCs w:val="22"/>
        </w:rPr>
      </w:pPr>
    </w:p>
    <w:p w14:paraId="5222935A" w14:textId="713FE1AE" w:rsidR="00225419" w:rsidRPr="00415339" w:rsidRDefault="00225419" w:rsidP="006661FE">
      <w:pPr>
        <w:pStyle w:val="Heading1"/>
        <w:tabs>
          <w:tab w:val="clear" w:pos="810"/>
          <w:tab w:val="left" w:pos="720"/>
        </w:tabs>
        <w:rPr>
          <w:color w:val="auto"/>
          <w:sz w:val="28"/>
          <w:szCs w:val="28"/>
        </w:rPr>
      </w:pPr>
      <w:bookmarkStart w:id="102" w:name="_Toc220918038"/>
      <w:bookmarkStart w:id="103" w:name="_Toc44315421"/>
      <w:r w:rsidRPr="00415339">
        <w:rPr>
          <w:color w:val="auto"/>
          <w:sz w:val="28"/>
          <w:szCs w:val="28"/>
        </w:rPr>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costs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first year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first year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the site specific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the rate of return charge remains constant at 6% for the 40 year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the asset is terminated at the end of its 40 year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For the purpose of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(40 year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first year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t xml:space="preserve">The previous example assumes that the asset is commissioned on 1 April 2010.  If it is assumed that the asset is commissioned on 1 July 2010, the first year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exactly the same assumptions as those in example 1 above, the total annual connection charges will be the same as those presented.  These charges will not change as a result of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Annual Connection Charge</w:t>
      </w:r>
      <w:r w:rsidRPr="00D2324F">
        <w:rPr>
          <w:rFonts w:ascii="Arial" w:hAnsi="Arial" w:cs="Arial"/>
          <w:sz w:val="22"/>
          <w:szCs w:val="22"/>
          <w:vertAlign w:val="subscript"/>
        </w:rPr>
        <w:t>n</w:t>
      </w:r>
      <w:r w:rsidRPr="00D2324F">
        <w:rPr>
          <w:rFonts w:ascii="Arial" w:hAnsi="Arial" w:cs="Arial"/>
          <w:sz w:val="22"/>
          <w:szCs w:val="22"/>
        </w:rPr>
        <w:t xml:space="preserve"> = SSF</w:t>
      </w:r>
      <w:r w:rsidRPr="00D2324F">
        <w:rPr>
          <w:rFonts w:ascii="Arial" w:hAnsi="Arial" w:cs="Arial"/>
          <w:sz w:val="22"/>
          <w:szCs w:val="22"/>
          <w:vertAlign w:val="subscript"/>
        </w:rPr>
        <w:t xml:space="preserve">n </w:t>
      </w:r>
      <w:r w:rsidRPr="00D2324F">
        <w:rPr>
          <w:rFonts w:ascii="Arial" w:hAnsi="Arial" w:cs="Arial"/>
          <w:sz w:val="22"/>
          <w:szCs w:val="22"/>
        </w:rPr>
        <w:t xml:space="preserve"> (</w:t>
      </w:r>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r w:rsidRPr="00D2324F">
        <w:rPr>
          <w:rFonts w:ascii="Arial" w:hAnsi="Arial" w:cs="Arial"/>
          <w:sz w:val="22"/>
          <w:szCs w:val="22"/>
        </w:rPr>
        <w:t>)+ TC</w:t>
      </w:r>
      <w:r w:rsidRPr="00D2324F">
        <w:rPr>
          <w:rFonts w:ascii="Arial" w:hAnsi="Arial" w:cs="Arial"/>
          <w:sz w:val="22"/>
          <w:szCs w:val="22"/>
          <w:vertAlign w:val="subscript"/>
        </w:rPr>
        <w:t>n</w:t>
      </w:r>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cases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There may be cases where there are specific conditions such that the practicable minimum scheme at a site has to be greater than the strict, theoretical interpretation of the standards.  In these cases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09A6A36C" w:rsidR="006661FE" w:rsidRDefault="5083A541" w:rsidP="325E90A3">
      <w:pPr>
        <w:pStyle w:val="1"/>
        <w:numPr>
          <w:ilvl w:val="0"/>
          <w:numId w:val="46"/>
        </w:numPr>
        <w:tabs>
          <w:tab w:val="num" w:pos="720"/>
        </w:tabs>
        <w:ind w:left="1627"/>
        <w:jc w:val="both"/>
      </w:pPr>
      <w:r>
        <w:t xml:space="preserve">Transmission Network Use of System charges reflect the cost of installing, operating and maintaining the transmission system for the Transmission Owner (TO) </w:t>
      </w:r>
      <w:r w:rsidR="00281D3F">
        <w:t>(including Competitively Appointed Transmission Owners (CATOs)</w:t>
      </w:r>
      <w:r w:rsidR="006F6420">
        <w:t>). Activity</w:t>
      </w:r>
      <w:r>
        <w:t xml:space="preserve"> function of the Transmission Businesses of each </w:t>
      </w:r>
      <w:r w:rsidR="345DCCCA">
        <w:t xml:space="preserve">Relevant </w:t>
      </w:r>
      <w:r>
        <w:t xml:space="preserve">Transmission Licensee. These activities are undertaken to the standards prescribed by the </w:t>
      </w:r>
      <w:r w:rsidR="01A2409D" w:rsidRPr="009919C1">
        <w:rPr>
          <w:b/>
          <w:bCs/>
        </w:rPr>
        <w:t>ESO Licence</w:t>
      </w:r>
      <w:r w:rsidR="01A2409D">
        <w:t xml:space="preserve"> and the </w:t>
      </w:r>
      <w:r>
        <w:t>Transmission Licences</w:t>
      </w:r>
      <w:r w:rsidR="006661FE">
        <w:fldChar w:fldCharType="begin"/>
      </w:r>
      <w:r w:rsidR="006661FE">
        <w:instrText xml:space="preserve"> XE "Transmission Licence" </w:instrText>
      </w:r>
      <w:r w:rsidR="006661FE">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6963601" w:rsidR="006661FE" w:rsidRDefault="00C16730" w:rsidP="002439CF">
      <w:pPr>
        <w:pStyle w:val="1"/>
        <w:numPr>
          <w:ilvl w:val="0"/>
          <w:numId w:val="46"/>
        </w:numPr>
        <w:tabs>
          <w:tab w:val="clear" w:pos="0"/>
          <w:tab w:val="num" w:pos="720"/>
        </w:tabs>
        <w:ind w:left="1627"/>
        <w:jc w:val="both"/>
      </w:pPr>
      <w:r>
        <w:t>The</w:t>
      </w:r>
      <w:r w:rsidR="006661FE">
        <w:t xml:space="preserve"> </w:t>
      </w:r>
      <w:r>
        <w:t>a</w:t>
      </w:r>
      <w:r w:rsidR="006661FE">
        <w:t xml:space="preserve">llowed </w:t>
      </w:r>
      <w:r w:rsidR="007C5D3E">
        <w:t>r</w:t>
      </w:r>
      <w:r w:rsidR="006661FE">
        <w:t>evenue</w:t>
      </w:r>
      <w:r w:rsidR="006661FE">
        <w:fldChar w:fldCharType="begin"/>
      </w:r>
      <w:r w:rsidR="006661FE">
        <w:instrText xml:space="preserve"> XE "Maximum Allowed Revenue" </w:instrText>
      </w:r>
      <w:r w:rsidR="006661FE">
        <w:fldChar w:fldCharType="end"/>
      </w:r>
      <w:r w:rsidR="006661FE">
        <w:t xml:space="preserve"> defined for these activities </w:t>
      </w:r>
      <w:r w:rsidR="00350DFC">
        <w:t>agreed with</w:t>
      </w:r>
      <w:r w:rsidR="006661FE">
        <w:t xml:space="preserve"> the Authority at the time of the Transmission Owners’ price control review for the succeeding price control period.</w:t>
      </w:r>
      <w:r w:rsidR="00082F33">
        <w:t xml:space="preserve"> </w:t>
      </w:r>
      <w:r w:rsidR="00A17843">
        <w:t xml:space="preserve">The allowed revenue can be adjusted during the price control period. </w:t>
      </w:r>
      <w:r w:rsidR="006661FE">
        <w:t xml:space="preserve">Transmission Network Use of System Charges are set to recover the </w:t>
      </w:r>
      <w:r w:rsidR="00A52324">
        <w:t>a</w:t>
      </w:r>
      <w:r w:rsidR="006661FE">
        <w:t xml:space="preserve">llowed </w:t>
      </w:r>
      <w:r w:rsidR="00A52324">
        <w:t>r</w:t>
      </w:r>
      <w:r w:rsidR="006661FE">
        <w:t xml:space="preserve">evenue as set by the </w:t>
      </w:r>
      <w:r w:rsidR="00A52324">
        <w:t>p</w:t>
      </w:r>
      <w:r w:rsidR="006661FE">
        <w:t xml:space="preserve">rice </w:t>
      </w:r>
      <w:r w:rsidR="00A52324">
        <w:t>c</w:t>
      </w:r>
      <w:r w:rsidR="006661FE">
        <w:t>ontrol (where necessary, allowing for any K</w:t>
      </w:r>
      <w:r w:rsidR="006661FE" w:rsidRPr="00420D25">
        <w:rPr>
          <w:szCs w:val="22"/>
          <w:vertAlign w:val="subscript"/>
        </w:rPr>
        <w:t>t</w:t>
      </w:r>
      <w:r w:rsidR="006661FE">
        <w:t xml:space="preserve"> adjustment for under or over recovery in a previous year net of the income recovered through pre-vesting connection charges).</w:t>
      </w:r>
    </w:p>
    <w:p w14:paraId="780B877B" w14:textId="77777777" w:rsidR="00EB2E46" w:rsidRDefault="00EB2E46" w:rsidP="002E5004">
      <w:pPr>
        <w:pStyle w:val="ListParagraph"/>
      </w:pPr>
    </w:p>
    <w:p w14:paraId="41A7B09F" w14:textId="71100762" w:rsidR="00841028" w:rsidRDefault="00D873F5" w:rsidP="002E5004">
      <w:pPr>
        <w:pStyle w:val="1"/>
        <w:ind w:left="1701" w:hanging="992"/>
        <w:jc w:val="both"/>
      </w:pPr>
      <w:r>
        <w:t>14.14.2a</w:t>
      </w:r>
      <w:r w:rsidR="00841028">
        <w:t xml:space="preserve"> The</w:t>
      </w:r>
      <w:r w:rsidR="00736357">
        <w:t xml:space="preserve"> </w:t>
      </w:r>
      <w:r w:rsidR="00841028">
        <w:t>payments made to Competitively Appointed Transmission Owners (CATOs) are not set via a price control of the same form as incumbent Transmission Owners; instead, the payment to each CATO takes the form of a Tender Revenue Stream (TRS).  The method for determining the TRS for a CATO will be prescribed within its licence.  Transmission Network Use of System Charges are set to recover the Allowed Revenue which is determined in accordance with the terms of the CATO’s licence, such Allowed Revenue may include amongst other things the TRS, adjustments for indexation and incentivisation, and other payments provided for under its licence.</w:t>
      </w:r>
    </w:p>
    <w:p w14:paraId="3EFC81C7" w14:textId="592FA10C" w:rsidR="00EB2E46" w:rsidRDefault="00EB2E46" w:rsidP="002E5004">
      <w:pPr>
        <w:pStyle w:val="1"/>
        <w:ind w:left="1627"/>
        <w:jc w:val="both"/>
      </w:pPr>
    </w:p>
    <w:p w14:paraId="1B4790D7" w14:textId="77777777" w:rsidR="006661FE" w:rsidRDefault="006661FE" w:rsidP="006661FE">
      <w:pPr>
        <w:pStyle w:val="1"/>
        <w:jc w:val="both"/>
      </w:pPr>
    </w:p>
    <w:p w14:paraId="238C39DC" w14:textId="77777777" w:rsidR="006661FE" w:rsidRDefault="006661FE" w:rsidP="002E5004">
      <w:pPr>
        <w:pStyle w:val="1"/>
        <w:numPr>
          <w:ilvl w:val="0"/>
          <w:numId w:val="136"/>
        </w:numPr>
        <w:tabs>
          <w:tab w:val="clear" w:pos="0"/>
          <w:tab w:val="num" w:pos="720"/>
        </w:tabs>
        <w:ind w:left="1701" w:hanging="992"/>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E5004">
      <w:pPr>
        <w:numPr>
          <w:ilvl w:val="0"/>
          <w:numId w:val="136"/>
        </w:numPr>
        <w:ind w:left="1701" w:hanging="992"/>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Industry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2E5004">
      <w:pPr>
        <w:pStyle w:val="1"/>
        <w:numPr>
          <w:ilvl w:val="0"/>
          <w:numId w:val="107"/>
        </w:numPr>
        <w:ind w:left="1560" w:hanging="851"/>
        <w:jc w:val="both"/>
      </w:pPr>
      <w:r>
        <w:t xml:space="preserve">In April 2004 </w:t>
      </w:r>
      <w:r w:rsidR="00E71EB2" w:rsidRPr="00E71EB2">
        <w:rPr>
          <w:b/>
        </w:rPr>
        <w:t>The Company</w:t>
      </w:r>
      <w:r>
        <w:t xml:space="preserve"> introduced a DC Loadflow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 xml:space="preserve">The application of a de-minimus level demand charge of £0/kW for Half Hourly and £0/kWh for Non-Half Hourly metered demand and £0/KWh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r w:rsidRPr="00CD5631">
        <w:t xml:space="preserve">For the purpose of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(GCharge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r w:rsidRPr="00CD5631">
        <w:rPr>
          <w:b/>
        </w:rPr>
        <w:t>The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GCharge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Where annual average TNUoS charges to Generators are negative under the GCharge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(AdjGenRev)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y = (1+ ErrorGenRev) / (1 - ErrorGO)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r>
        <w:t xml:space="preserve">ErrorGenRev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r>
        <w:t>ErrorGO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31st October in the year preceding the relevant </w:t>
      </w:r>
      <w:r w:rsidR="00E4464D" w:rsidRPr="00CD5631">
        <w:rPr>
          <w:b/>
        </w:rPr>
        <w:t>Financial Year</w:t>
      </w:r>
      <w:r>
        <w:t xml:space="preserve"> to convert average annual TNUoS charges payable by Generators in the GCharge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r>
        <w:t xml:space="preserve">Where; </w:t>
      </w:r>
    </w:p>
    <w:p w14:paraId="6AB95F0C" w14:textId="77777777" w:rsidR="00DF66F2" w:rsidRDefault="00DF66F2" w:rsidP="00DF66F2">
      <w:pPr>
        <w:pStyle w:val="1"/>
        <w:ind w:firstLine="1276"/>
        <w:jc w:val="both"/>
      </w:pPr>
      <w:r>
        <w:t xml:space="preserve">    CapEC  = Upper limit of the range specified in the Limiting Regulation </w:t>
      </w:r>
    </w:p>
    <w:p w14:paraId="6480382F" w14:textId="77777777" w:rsidR="00DF66F2" w:rsidRDefault="00DF66F2" w:rsidP="00DF66F2">
      <w:pPr>
        <w:pStyle w:val="1"/>
        <w:ind w:firstLine="1560"/>
        <w:jc w:val="both"/>
      </w:pPr>
      <w:r>
        <w:t>y           = Error margin built in to adjust CapEC</w:t>
      </w:r>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31st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r>
        <w:t xml:space="preserve">GCharge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r>
        <w:t xml:space="preserve">AdjRevenue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r>
        <w:t>AdjTariff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65327D4B" w:rsidR="006661FE" w:rsidRPr="002338F3" w:rsidRDefault="5083A541" w:rsidP="006661FE">
      <w:pPr>
        <w:ind w:left="1440"/>
        <w:rPr>
          <w:rFonts w:ascii="Arial" w:hAnsi="Arial" w:cs="Arial"/>
          <w:sz w:val="22"/>
          <w:szCs w:val="22"/>
        </w:rPr>
      </w:pPr>
      <w:r w:rsidRPr="325E90A3">
        <w:rPr>
          <w:rFonts w:ascii="Arial" w:hAnsi="Arial" w:cs="Arial"/>
          <w:sz w:val="22"/>
          <w:szCs w:val="22"/>
        </w:rPr>
        <w:t xml:space="preserve">The </w:t>
      </w:r>
      <w:r w:rsidR="6EBA34D7" w:rsidRPr="009919C1">
        <w:rPr>
          <w:rFonts w:ascii="Arial" w:hAnsi="Arial" w:cs="Arial"/>
          <w:b/>
          <w:bCs/>
          <w:sz w:val="22"/>
          <w:szCs w:val="22"/>
        </w:rPr>
        <w:t>ESO</w:t>
      </w:r>
      <w:r w:rsidRPr="009919C1">
        <w:rPr>
          <w:rFonts w:ascii="Arial" w:hAnsi="Arial" w:cs="Arial"/>
          <w:b/>
          <w:bCs/>
          <w:sz w:val="22"/>
          <w:szCs w:val="22"/>
        </w:rPr>
        <w:t xml:space="preserve"> Licence</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"Transmission Licence" </w:instrText>
      </w:r>
      <w:r w:rsidR="006661FE" w:rsidRPr="325E90A3">
        <w:rPr>
          <w:rFonts w:ascii="Arial" w:hAnsi="Arial" w:cs="Arial"/>
          <w:sz w:val="22"/>
          <w:szCs w:val="22"/>
        </w:rPr>
        <w:fldChar w:fldCharType="end"/>
      </w:r>
      <w:r w:rsidRPr="325E90A3">
        <w:rPr>
          <w:rFonts w:ascii="Arial" w:hAnsi="Arial" w:cs="Arial"/>
          <w:sz w:val="22"/>
          <w:szCs w:val="22"/>
        </w:rPr>
        <w:t xml:space="preserve"> requires </w:t>
      </w:r>
      <w:r w:rsidR="4C0F0931" w:rsidRPr="325E90A3">
        <w:rPr>
          <w:rFonts w:ascii="Arial" w:hAnsi="Arial" w:cs="Arial"/>
          <w:b/>
          <w:bCs/>
          <w:sz w:val="22"/>
          <w:szCs w:val="22"/>
        </w:rPr>
        <w:t>The Company</w:t>
      </w:r>
      <w:r w:rsidRPr="325E90A3">
        <w:rPr>
          <w:rFonts w:ascii="Arial" w:hAnsi="Arial" w:cs="Arial"/>
          <w:sz w:val="22"/>
          <w:szCs w:val="22"/>
        </w:rPr>
        <w:t xml:space="preserve"> to operate the National Electricity Transmission System to specified standards. In addition </w:t>
      </w:r>
      <w:r w:rsidR="4C0F0931" w:rsidRPr="325E90A3">
        <w:rPr>
          <w:rFonts w:ascii="Arial" w:hAnsi="Arial" w:cs="Arial"/>
          <w:b/>
          <w:bCs/>
          <w:sz w:val="22"/>
          <w:szCs w:val="22"/>
        </w:rPr>
        <w:t>The Company</w:t>
      </w:r>
      <w:r w:rsidRPr="325E90A3">
        <w:rPr>
          <w:rFonts w:ascii="Arial" w:hAnsi="Arial" w:cs="Arial"/>
          <w:sz w:val="22"/>
          <w:szCs w:val="22"/>
        </w:rPr>
        <w:t xml:space="preserve"> </w:t>
      </w:r>
      <w:r w:rsidR="1BDE94B1" w:rsidRPr="325E90A3">
        <w:rPr>
          <w:rFonts w:ascii="Arial" w:hAnsi="Arial" w:cs="Arial"/>
          <w:sz w:val="22"/>
          <w:szCs w:val="22"/>
        </w:rPr>
        <w:t xml:space="preserve">and </w:t>
      </w:r>
      <w:r w:rsidRPr="325E90A3">
        <w:rPr>
          <w:rFonts w:ascii="Arial" w:hAnsi="Arial" w:cs="Arial"/>
          <w:sz w:val="22"/>
          <w:szCs w:val="22"/>
        </w:rPr>
        <w:t xml:space="preserve"> transmission licensees are required to plan and develop the National Electricity Transmission System to meet these standards.  These requirements mean that the system must conform to a particular Security Standard and capital investment requirements are largely driven by the need to conform to </w:t>
      </w:r>
      <w:r w:rsidR="3282A354" w:rsidRPr="325E90A3">
        <w:rPr>
          <w:rFonts w:ascii="Arial" w:hAnsi="Arial" w:cs="Arial"/>
          <w:sz w:val="22"/>
          <w:szCs w:val="22"/>
        </w:rPr>
        <w:t xml:space="preserve">both the deterministic and supporting cost benefit analysis aspects of </w:t>
      </w:r>
      <w:r w:rsidRPr="325E90A3">
        <w:rPr>
          <w:rFonts w:ascii="Arial" w:hAnsi="Arial" w:cs="Arial"/>
          <w:sz w:val="22"/>
          <w:szCs w:val="22"/>
        </w:rPr>
        <w:t>this standard.  It is this obligation, which provides the underlying rationale for the ICRP</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"ICRP" </w:instrText>
      </w:r>
      <w:r w:rsidR="006661FE" w:rsidRPr="325E90A3">
        <w:rPr>
          <w:rFonts w:ascii="Arial" w:hAnsi="Arial" w:cs="Arial"/>
          <w:sz w:val="22"/>
          <w:szCs w:val="22"/>
        </w:rPr>
        <w:fldChar w:fldCharType="end"/>
      </w:r>
      <w:r w:rsidRPr="325E90A3">
        <w:rPr>
          <w:rFonts w:ascii="Arial" w:hAnsi="Arial" w:cs="Arial"/>
          <w:sz w:val="22"/>
          <w:szCs w:val="22"/>
        </w:rPr>
        <w:t xml:space="preserve"> approach, i.e. for any changes in generation and demand on the system, </w:t>
      </w:r>
      <w:r w:rsidR="4C0F0931" w:rsidRPr="325E90A3">
        <w:rPr>
          <w:rFonts w:ascii="Arial" w:hAnsi="Arial" w:cs="Arial"/>
          <w:b/>
          <w:bCs/>
          <w:sz w:val="22"/>
          <w:szCs w:val="22"/>
        </w:rPr>
        <w:t>The Company</w:t>
      </w:r>
      <w:r w:rsidRPr="325E90A3">
        <w:rPr>
          <w:rFonts w:ascii="Arial" w:hAnsi="Arial" w:cs="Arial"/>
          <w:sz w:val="22"/>
          <w:szCs w:val="22"/>
        </w:rPr>
        <w:t xml:space="preserve"> must ensure that it satisfies the requirements of the Security Standard</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"Security Standards" </w:instrText>
      </w:r>
      <w:r w:rsidR="006661FE" w:rsidRPr="325E90A3">
        <w:rPr>
          <w:rFonts w:ascii="Arial" w:hAnsi="Arial" w:cs="Arial"/>
          <w:sz w:val="22"/>
          <w:szCs w:val="22"/>
        </w:rPr>
        <w:fldChar w:fldCharType="end"/>
      </w:r>
      <w:r w:rsidRPr="325E90A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in order to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The TNUoS charging methodology seeks to reflect these arrangements through the use of dual backgrounds in the Transport Model, namely a Peak Security background representative of the Demand Security Criterion and a Year Round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Year Round backgrounds respectively.  </w:t>
      </w:r>
      <w:r w:rsidRPr="000B6C0D">
        <w:t>For the Year Round background the diversity of the plant mix (i.e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a number of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offer clarity of principles and transparency of the methodology;</w:t>
      </w:r>
    </w:p>
    <w:p w14:paraId="32F7B2A6" w14:textId="77777777" w:rsidR="006661FE" w:rsidRDefault="006661FE" w:rsidP="002439CF">
      <w:pPr>
        <w:pStyle w:val="1"/>
        <w:numPr>
          <w:ilvl w:val="0"/>
          <w:numId w:val="52"/>
        </w:numPr>
        <w:tabs>
          <w:tab w:val="clear" w:pos="360"/>
          <w:tab w:val="num" w:pos="1843"/>
        </w:tabs>
        <w:ind w:left="1843" w:hanging="425"/>
        <w:jc w:val="both"/>
      </w:pPr>
      <w:r>
        <w:t>inform existing Users and potential new entrants with accurate and stable cost messages;</w:t>
      </w:r>
    </w:p>
    <w:p w14:paraId="638D5395" w14:textId="77777777" w:rsidR="006661FE" w:rsidRDefault="006661FE" w:rsidP="002439CF">
      <w:pPr>
        <w:pStyle w:val="1"/>
        <w:numPr>
          <w:ilvl w:val="0"/>
          <w:numId w:val="52"/>
        </w:numPr>
        <w:tabs>
          <w:tab w:val="clear" w:pos="360"/>
          <w:tab w:val="num" w:pos="1843"/>
        </w:tabs>
        <w:ind w:left="1843" w:hanging="425"/>
        <w:jc w:val="both"/>
      </w:pPr>
      <w:r>
        <w:t>charge on the basis of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be implementable within practical cost parameters and time-scales.</w:t>
      </w:r>
    </w:p>
    <w:p w14:paraId="20991517" w14:textId="77777777" w:rsidR="006661FE" w:rsidRDefault="006661FE" w:rsidP="006661FE">
      <w:pPr>
        <w:pStyle w:val="1"/>
        <w:jc w:val="both"/>
      </w:pP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However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r w:rsidR="00347AC7">
        <w:t xml:space="preserve">five </w:t>
      </w:r>
      <w:r>
        <w:t xml:space="preserve"> separate components.  </w:t>
      </w:r>
      <w:r w:rsidR="00347AC7">
        <w:t>Three</w:t>
      </w:r>
      <w:r>
        <w:t xml:space="preserve"> wider </w:t>
      </w:r>
      <w:r w:rsidR="00347AC7">
        <w:t xml:space="preserve"> components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Year Round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(for both Year Round components)</w:t>
      </w:r>
      <w:r w:rsidRPr="00D91593">
        <w:t xml:space="preserve"> of the Security Standard.  </w:t>
      </w:r>
      <w:r w:rsidRPr="000B6C0D">
        <w:t>The two Year Round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on the transmission system.  One measure of the investment costs is in terms of MWkm</w:t>
      </w:r>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are represented in the Peak Security and Year Round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9B17900" w:rsidR="006661FE" w:rsidRDefault="5083A541" w:rsidP="007D27B2">
      <w:pPr>
        <w:pStyle w:val="1"/>
        <w:numPr>
          <w:ilvl w:val="0"/>
          <w:numId w:val="70"/>
        </w:numPr>
        <w:jc w:val="both"/>
      </w:pPr>
      <w:r>
        <w:t xml:space="preserve">For a given </w:t>
      </w:r>
      <w:r w:rsidR="1A0A6E3F" w:rsidRPr="325E90A3">
        <w:rPr>
          <w:b/>
          <w:bCs/>
        </w:rPr>
        <w:t>Financial Year</w:t>
      </w:r>
      <w:r>
        <w:t xml:space="preserve"> "t", the nodal </w:t>
      </w:r>
      <w:r w:rsidR="592C0635">
        <w:t xml:space="preserve">generation </w:t>
      </w:r>
      <w:r>
        <w:t>TEC figure</w:t>
      </w:r>
      <w:r w:rsidR="592C0635">
        <w:t xml:space="preserve"> and generation plant types</w:t>
      </w:r>
      <w:r>
        <w:t xml:space="preserve"> at each node will be based on the Applicable Value for year "t" in the NETS </w:t>
      </w:r>
      <w:r w:rsidR="60A93288" w:rsidRPr="009919C1">
        <w:rPr>
          <w:b/>
          <w:bCs/>
        </w:rPr>
        <w:t>Electricity Ten Year Statement (ETYS)</w:t>
      </w:r>
      <w:r w:rsidR="60A93288">
        <w:t xml:space="preserve"> </w:t>
      </w:r>
      <w:r w:rsidR="006661FE">
        <w:fldChar w:fldCharType="begin"/>
      </w:r>
      <w:r w:rsidR="006661FE">
        <w:instrText xml:space="preserve"> XE "Seven Year Statement" </w:instrText>
      </w:r>
      <w:r w:rsidR="006661FE">
        <w:fldChar w:fldCharType="end"/>
      </w:r>
      <w:r>
        <w:t xml:space="preserve">in year "t-1" plus updates to the October of year "t-1". The contracted TECs </w:t>
      </w:r>
      <w:r w:rsidR="592C0635">
        <w:t xml:space="preserve">and generation plant types </w:t>
      </w:r>
      <w:r>
        <w:t xml:space="preserve">in the NETS </w:t>
      </w:r>
      <w:r w:rsidR="5885A639" w:rsidRPr="009919C1">
        <w:rPr>
          <w:b/>
          <w:bCs/>
        </w:rPr>
        <w:t>Electricity Ten Year Statement (ETYS)</w:t>
      </w:r>
      <w:r w:rsidR="5885A639">
        <w:t xml:space="preserve"> </w:t>
      </w:r>
      <w:r>
        <w:t xml:space="preserve">include all plant belonging to generators who have a Bilateral Agreement with the TOs.  For example, for 2010/11 charges, the nodal generation data is based on the forecast for 2010/11 in the 2009 NETS </w:t>
      </w:r>
      <w:r w:rsidR="576CF03A" w:rsidRPr="009919C1">
        <w:rPr>
          <w:b/>
          <w:bCs/>
        </w:rPr>
        <w:t>Electricity Ten Year Statement (ETYS)</w:t>
      </w:r>
      <w:r w:rsidR="576CF03A">
        <w:t xml:space="preserve"> </w:t>
      </w:r>
      <w:r>
        <w:t>plus any data included in the quarterly updates in October 2009.</w:t>
      </w:r>
    </w:p>
    <w:p w14:paraId="49A51993" w14:textId="723B0248" w:rsidR="00940F3A" w:rsidRDefault="00940F3A" w:rsidP="007B7E29">
      <w:pPr>
        <w:pStyle w:val="1"/>
        <w:numPr>
          <w:ilvl w:val="0"/>
          <w:numId w:val="70"/>
        </w:numPr>
        <w:tabs>
          <w:tab w:val="num" w:pos="1080"/>
        </w:tabs>
        <w:spacing w:before="120"/>
        <w:jc w:val="both"/>
      </w:pPr>
      <w:bookmarkStart w:id="152" w:name="_Ref348628645"/>
      <w:r>
        <w:t>Scaling factors for different generation plant types are applied on their aggregated capacity for both Peak Security and Year Round backgrounds.  The scaling is either Fixed or Variable (depending on the</w:t>
      </w:r>
      <w:r w:rsidR="0047668C">
        <w:t xml:space="preserve"> </w:t>
      </w:r>
      <w:r w:rsidR="006B5709">
        <w:t>g</w:t>
      </w:r>
      <w:r w:rsidR="0047668C">
        <w:t xml:space="preserve">eneration </w:t>
      </w:r>
      <w:r w:rsidR="006B5709">
        <w:t>p</w:t>
      </w:r>
      <w:r w:rsidR="0047668C">
        <w:t xml:space="preserve">lant </w:t>
      </w:r>
      <w:r w:rsidR="006B5709">
        <w:t>t</w:t>
      </w:r>
      <w:r w:rsidR="0047668C">
        <w:t>ype</w:t>
      </w:r>
      <w:r w:rsidR="006B5709">
        <w:t xml:space="preserve"> as referenced in the table below</w:t>
      </w:r>
      <w:r>
        <w:t>)</w:t>
      </w:r>
      <w:r w:rsidR="00F6133A">
        <w:t xml:space="preserve"> and based on</w:t>
      </w:r>
      <w:r>
        <w:t xml:space="preserve"> the factors used in the Security Standard, </w:t>
      </w:r>
      <w:r w:rsidR="00070E56">
        <w:t>which are referenced in the same table</w:t>
      </w:r>
      <w:r>
        <w:t>.</w:t>
      </w:r>
      <w:bookmarkEnd w:id="152"/>
    </w:p>
    <w:p w14:paraId="47BB7CBF" w14:textId="77777777" w:rsidR="00F80330" w:rsidRDefault="00F80330" w:rsidP="006D74BD">
      <w:pPr>
        <w:pStyle w:val="1"/>
        <w:ind w:left="720"/>
        <w:jc w:val="both"/>
      </w:pPr>
    </w:p>
    <w:p w14:paraId="076557B4" w14:textId="1A3FCD3B" w:rsidR="00F80330" w:rsidRDefault="00F80330" w:rsidP="006D74BD">
      <w:pPr>
        <w:pStyle w:val="1"/>
        <w:ind w:left="1627"/>
        <w:jc w:val="both"/>
      </w:pPr>
      <w:r>
        <w:t>A 10% floor for the Year Round Background variable scaling factor is used for charging purposes. If the methodology set out in</w:t>
      </w:r>
      <w:r w:rsidR="00E02294">
        <w:t xml:space="preserve"> the</w:t>
      </w:r>
      <w:r>
        <w:t xml:space="preserve"> SQSS for calculating the variable scaling factor results in a lower number, the variable factor will be set at 10%, and fixed scaling factors adjusted by a uniform amount. This adjustment will be based on the SQSS principle that the total scaled output of all generation plant shall equal the ACS (</w:t>
      </w:r>
      <w:r w:rsidR="00E02294">
        <w:t xml:space="preserve">Annual </w:t>
      </w:r>
      <w:r>
        <w:t>Average Cold Spell) peak demand minus total imports from external systems, and can be calculated using the following equation.</w:t>
      </w:r>
    </w:p>
    <w:p w14:paraId="55E2592C" w14:textId="77777777" w:rsidR="00F80330" w:rsidRDefault="00F80330" w:rsidP="006D74BD">
      <w:pPr>
        <w:pStyle w:val="1"/>
        <w:ind w:left="720"/>
        <w:jc w:val="both"/>
      </w:pPr>
    </w:p>
    <w:p w14:paraId="6783E372" w14:textId="77777777" w:rsidR="00F80330" w:rsidRPr="00251A61" w:rsidRDefault="00F80330" w:rsidP="006D74BD">
      <w:pPr>
        <w:pStyle w:val="1"/>
        <w:ind w:left="720"/>
        <w:jc w:val="both"/>
      </w:pPr>
      <m:oMathPara>
        <m:oMath>
          <m:r>
            <w:rPr>
              <w:rFonts w:ascii="Cambria Math" w:hAnsi="Cambria Math"/>
            </w:rPr>
            <m:t xml:space="preserve">Adjustment= </m:t>
          </m:r>
          <m:f>
            <m:fPr>
              <m:ctrlPr>
                <w:rPr>
                  <w:rFonts w:ascii="Cambria Math" w:hAnsi="Cambria Math"/>
                  <w:i/>
                </w:rPr>
              </m:ctrlPr>
            </m:fPr>
            <m:num>
              <m:sSub>
                <m:sSubPr>
                  <m:ctrlPr>
                    <w:rPr>
                      <w:rFonts w:ascii="Cambria Math" w:hAnsi="Cambria Math"/>
                      <w:i/>
                    </w:rPr>
                  </m:ctrlPr>
                </m:sSubPr>
                <m:e>
                  <m:r>
                    <w:rPr>
                      <w:rFonts w:ascii="Cambria Math" w:hAnsi="Cambria Math"/>
                    </w:rPr>
                    <m:t>ACS</m:t>
                  </m:r>
                </m:e>
                <m:sub>
                  <m:r>
                    <w:rPr>
                      <w:rFonts w:ascii="Cambria Math" w:hAnsi="Cambria Math"/>
                    </w:rPr>
                    <m:t>Peak Demand</m:t>
                  </m:r>
                </m:sub>
              </m:sSub>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TEC×10%</m:t>
                          </m:r>
                        </m:e>
                      </m:d>
                    </m:e>
                    <m:sub>
                      <m:r>
                        <w:rPr>
                          <w:rFonts w:ascii="Cambria Math" w:hAnsi="Cambria Math"/>
                        </w:rPr>
                        <m:t>Variable Plant</m:t>
                      </m:r>
                    </m:sub>
                  </m:sSub>
                </m:e>
              </m:nary>
            </m:num>
            <m:den>
              <m:sSub>
                <m:sSubPr>
                  <m:ctrlPr>
                    <w:rPr>
                      <w:rFonts w:ascii="Cambria Math" w:hAnsi="Cambria Math"/>
                      <w:i/>
                    </w:rPr>
                  </m:ctrlPr>
                </m:sSubPr>
                <m:e>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TEC×Year Round Scaling Factor</m:t>
                          </m:r>
                        </m:e>
                      </m:d>
                    </m:e>
                  </m:nary>
                </m:e>
                <m:sub>
                  <m:r>
                    <w:rPr>
                      <w:rFonts w:ascii="Cambria Math" w:hAnsi="Cambria Math"/>
                    </w:rPr>
                    <m:t>Fixed Plant</m:t>
                  </m:r>
                </m:sub>
              </m:sSub>
            </m:den>
          </m:f>
        </m:oMath>
      </m:oMathPara>
    </w:p>
    <w:p w14:paraId="49B96CEC" w14:textId="77777777" w:rsidR="00F80330" w:rsidRDefault="00F80330" w:rsidP="006D74BD">
      <w:pPr>
        <w:pStyle w:val="1"/>
        <w:ind w:left="720"/>
        <w:jc w:val="both"/>
      </w:pPr>
    </w:p>
    <w:p w14:paraId="699471C6" w14:textId="77777777" w:rsidR="00F80330" w:rsidRDefault="00F80330" w:rsidP="006D74BD">
      <w:pPr>
        <w:pStyle w:val="1"/>
        <w:ind w:left="720"/>
        <w:jc w:val="both"/>
      </w:pPr>
      <m:oMathPara>
        <m:oMath>
          <m:r>
            <w:rPr>
              <w:rFonts w:ascii="Cambria Math" w:hAnsi="Cambria Math"/>
            </w:rPr>
            <m:t>Adjusted Fixed Scaling Factor=Adjustment×Scaling Factor</m:t>
          </m:r>
        </m:oMath>
      </m:oMathPara>
    </w:p>
    <w:p w14:paraId="223B3B82" w14:textId="77777777" w:rsidR="00F80330" w:rsidRDefault="00F80330" w:rsidP="00CF7454">
      <w:pPr>
        <w:pStyle w:val="1"/>
        <w:tabs>
          <w:tab w:val="num" w:pos="1080"/>
        </w:tabs>
        <w:spacing w:before="120"/>
        <w:ind w:left="1627"/>
        <w:jc w:val="both"/>
      </w:pPr>
    </w:p>
    <w:p w14:paraId="5DD306F3" w14:textId="77777777" w:rsidR="00940F3A" w:rsidRDefault="00940F3A" w:rsidP="00940F3A">
      <w:pPr>
        <w:pStyle w:val="1"/>
        <w:ind w:left="720"/>
        <w:jc w:val="both"/>
      </w:pPr>
    </w:p>
    <w:tbl>
      <w:tblPr>
        <w:tblW w:w="7370" w:type="dxa"/>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4"/>
        <w:gridCol w:w="1915"/>
        <w:gridCol w:w="1860"/>
        <w:gridCol w:w="1501"/>
      </w:tblGrid>
      <w:tr w:rsidR="00995826" w:rsidRPr="00506BD8" w14:paraId="177DE49B" w14:textId="271E9CBC" w:rsidTr="003309BF">
        <w:tc>
          <w:tcPr>
            <w:tcW w:w="2094" w:type="dxa"/>
            <w:vAlign w:val="center"/>
          </w:tcPr>
          <w:p w14:paraId="03BE7D5C" w14:textId="77777777" w:rsidR="00995826" w:rsidRPr="00874A70" w:rsidRDefault="00995826" w:rsidP="00995826">
            <w:pPr>
              <w:pStyle w:val="1"/>
              <w:jc w:val="center"/>
              <w:rPr>
                <w:b/>
                <w:szCs w:val="22"/>
              </w:rPr>
            </w:pPr>
            <w:r w:rsidRPr="00874A70">
              <w:rPr>
                <w:b/>
                <w:szCs w:val="22"/>
              </w:rPr>
              <w:t>Generation Plant Type</w:t>
            </w:r>
          </w:p>
        </w:tc>
        <w:tc>
          <w:tcPr>
            <w:tcW w:w="1915" w:type="dxa"/>
            <w:vAlign w:val="center"/>
          </w:tcPr>
          <w:p w14:paraId="3DDBE72C" w14:textId="77777777" w:rsidR="00995826" w:rsidRPr="00874A70" w:rsidRDefault="00995826" w:rsidP="00995826">
            <w:pPr>
              <w:pStyle w:val="1"/>
              <w:jc w:val="center"/>
              <w:rPr>
                <w:b/>
                <w:szCs w:val="22"/>
              </w:rPr>
            </w:pPr>
            <w:r w:rsidRPr="00874A70">
              <w:rPr>
                <w:b/>
                <w:szCs w:val="22"/>
              </w:rPr>
              <w:t>Peak Security Background</w:t>
            </w:r>
          </w:p>
        </w:tc>
        <w:tc>
          <w:tcPr>
            <w:tcW w:w="1860" w:type="dxa"/>
            <w:vAlign w:val="center"/>
          </w:tcPr>
          <w:p w14:paraId="38405807" w14:textId="77777777" w:rsidR="00995826" w:rsidRPr="00874A70" w:rsidRDefault="00995826" w:rsidP="00995826">
            <w:pPr>
              <w:pStyle w:val="1"/>
              <w:jc w:val="center"/>
              <w:rPr>
                <w:b/>
                <w:szCs w:val="22"/>
              </w:rPr>
            </w:pPr>
            <w:r w:rsidRPr="00874A70">
              <w:rPr>
                <w:b/>
                <w:szCs w:val="22"/>
              </w:rPr>
              <w:t>Year Round Background</w:t>
            </w:r>
          </w:p>
        </w:tc>
        <w:tc>
          <w:tcPr>
            <w:tcW w:w="1501" w:type="dxa"/>
          </w:tcPr>
          <w:p w14:paraId="4DF67F6B" w14:textId="214BA771" w:rsidR="00995826" w:rsidRPr="00874A70" w:rsidRDefault="00995826" w:rsidP="00995826">
            <w:pPr>
              <w:pStyle w:val="1"/>
              <w:jc w:val="center"/>
              <w:rPr>
                <w:b/>
                <w:szCs w:val="22"/>
              </w:rPr>
            </w:pPr>
            <w:ins w:id="153" w:author="Martin Cahill [NESO]" w:date="2025-05-20T13:25:00Z" w16du:dateUtc="2025-05-20T12:25:00Z">
              <w:r>
                <w:rPr>
                  <w:b/>
                  <w:szCs w:val="22"/>
                </w:rPr>
                <w:t>Technology Type</w:t>
              </w:r>
            </w:ins>
          </w:p>
        </w:tc>
      </w:tr>
      <w:tr w:rsidR="00995826" w:rsidRPr="00506BD8" w14:paraId="45F61E55" w14:textId="7114B858" w:rsidTr="003309BF">
        <w:tc>
          <w:tcPr>
            <w:tcW w:w="2094" w:type="dxa"/>
          </w:tcPr>
          <w:p w14:paraId="53B7BC8A" w14:textId="77777777" w:rsidR="00995826" w:rsidRPr="00874A70" w:rsidRDefault="00995826" w:rsidP="00995826">
            <w:pPr>
              <w:pStyle w:val="1"/>
              <w:jc w:val="both"/>
              <w:rPr>
                <w:szCs w:val="22"/>
              </w:rPr>
            </w:pPr>
            <w:r w:rsidRPr="00874A70">
              <w:rPr>
                <w:szCs w:val="22"/>
              </w:rPr>
              <w:t>Intermittent</w:t>
            </w:r>
          </w:p>
        </w:tc>
        <w:tc>
          <w:tcPr>
            <w:tcW w:w="1915" w:type="dxa"/>
          </w:tcPr>
          <w:p w14:paraId="4AC8D6BE" w14:textId="77777777" w:rsidR="00995826" w:rsidRPr="00874A70" w:rsidRDefault="00995826" w:rsidP="00995826">
            <w:pPr>
              <w:pStyle w:val="1"/>
              <w:jc w:val="center"/>
              <w:rPr>
                <w:szCs w:val="22"/>
              </w:rPr>
            </w:pPr>
            <w:r w:rsidRPr="00874A70">
              <w:rPr>
                <w:szCs w:val="22"/>
              </w:rPr>
              <w:t>Fixed (0%)</w:t>
            </w:r>
          </w:p>
        </w:tc>
        <w:tc>
          <w:tcPr>
            <w:tcW w:w="1860" w:type="dxa"/>
          </w:tcPr>
          <w:p w14:paraId="15E32459" w14:textId="77777777" w:rsidR="00995826" w:rsidRPr="00874A70" w:rsidRDefault="00995826" w:rsidP="00995826">
            <w:pPr>
              <w:pStyle w:val="1"/>
              <w:jc w:val="center"/>
              <w:rPr>
                <w:szCs w:val="22"/>
              </w:rPr>
            </w:pPr>
            <w:r w:rsidRPr="00874A70">
              <w:rPr>
                <w:szCs w:val="22"/>
              </w:rPr>
              <w:t>Fixed (70%)</w:t>
            </w:r>
          </w:p>
        </w:tc>
        <w:tc>
          <w:tcPr>
            <w:tcW w:w="1501" w:type="dxa"/>
          </w:tcPr>
          <w:p w14:paraId="04C8DFAE" w14:textId="6E635F0F" w:rsidR="00995826" w:rsidRPr="00874A70" w:rsidRDefault="00995826" w:rsidP="00995826">
            <w:pPr>
              <w:pStyle w:val="1"/>
              <w:jc w:val="center"/>
              <w:rPr>
                <w:szCs w:val="22"/>
              </w:rPr>
            </w:pPr>
            <w:ins w:id="154" w:author="Martin Cahill [NESO]" w:date="2025-05-20T13:25:00Z" w16du:dateUtc="2025-05-20T12:25:00Z">
              <w:r>
                <w:rPr>
                  <w:szCs w:val="22"/>
                </w:rPr>
                <w:t>Intermittent</w:t>
              </w:r>
            </w:ins>
          </w:p>
        </w:tc>
      </w:tr>
      <w:tr w:rsidR="00995826" w:rsidRPr="00506BD8" w14:paraId="7C06D146" w14:textId="038F53A0" w:rsidTr="003309BF">
        <w:tc>
          <w:tcPr>
            <w:tcW w:w="2094" w:type="dxa"/>
          </w:tcPr>
          <w:p w14:paraId="0DF67EF8" w14:textId="77777777" w:rsidR="00995826" w:rsidRPr="00874A70" w:rsidRDefault="00995826" w:rsidP="00995826">
            <w:pPr>
              <w:pStyle w:val="1"/>
              <w:jc w:val="both"/>
              <w:rPr>
                <w:szCs w:val="22"/>
              </w:rPr>
            </w:pPr>
            <w:r w:rsidRPr="00874A70">
              <w:rPr>
                <w:szCs w:val="22"/>
              </w:rPr>
              <w:t>Nuclear &amp; CCS</w:t>
            </w:r>
          </w:p>
        </w:tc>
        <w:tc>
          <w:tcPr>
            <w:tcW w:w="1915" w:type="dxa"/>
          </w:tcPr>
          <w:p w14:paraId="4471ACA3" w14:textId="77777777" w:rsidR="00995826" w:rsidRPr="00874A70" w:rsidRDefault="00995826" w:rsidP="00995826">
            <w:pPr>
              <w:pStyle w:val="1"/>
              <w:jc w:val="center"/>
              <w:rPr>
                <w:szCs w:val="22"/>
              </w:rPr>
            </w:pPr>
            <w:r w:rsidRPr="00874A70">
              <w:rPr>
                <w:szCs w:val="22"/>
              </w:rPr>
              <w:t>Variable</w:t>
            </w:r>
          </w:p>
        </w:tc>
        <w:tc>
          <w:tcPr>
            <w:tcW w:w="1860" w:type="dxa"/>
          </w:tcPr>
          <w:p w14:paraId="57F8BA10" w14:textId="77777777" w:rsidR="00995826" w:rsidRPr="00874A70" w:rsidRDefault="00995826" w:rsidP="00995826">
            <w:pPr>
              <w:pStyle w:val="1"/>
              <w:jc w:val="center"/>
              <w:rPr>
                <w:szCs w:val="22"/>
              </w:rPr>
            </w:pPr>
            <w:r w:rsidRPr="00874A70">
              <w:rPr>
                <w:szCs w:val="22"/>
              </w:rPr>
              <w:t>Fixed (85%)</w:t>
            </w:r>
          </w:p>
        </w:tc>
        <w:tc>
          <w:tcPr>
            <w:tcW w:w="1501" w:type="dxa"/>
          </w:tcPr>
          <w:p w14:paraId="2B8D2A6B" w14:textId="7542A773" w:rsidR="00995826" w:rsidRPr="00874A70" w:rsidRDefault="00995826" w:rsidP="00995826">
            <w:pPr>
              <w:pStyle w:val="1"/>
              <w:jc w:val="center"/>
              <w:rPr>
                <w:szCs w:val="22"/>
              </w:rPr>
            </w:pPr>
            <w:ins w:id="155" w:author="Martin Cahill [NESO]" w:date="2025-05-20T13:25:00Z" w16du:dateUtc="2025-05-20T12:25:00Z">
              <w:r>
                <w:rPr>
                  <w:szCs w:val="22"/>
                </w:rPr>
                <w:t>Conventional Low Carbon</w:t>
              </w:r>
            </w:ins>
          </w:p>
        </w:tc>
      </w:tr>
      <w:tr w:rsidR="00995826" w:rsidRPr="00506BD8" w14:paraId="1DC1DE16" w14:textId="1609C672" w:rsidTr="003309BF">
        <w:tc>
          <w:tcPr>
            <w:tcW w:w="2094" w:type="dxa"/>
          </w:tcPr>
          <w:p w14:paraId="2C9765FD" w14:textId="77777777" w:rsidR="00995826" w:rsidRPr="00874A70" w:rsidRDefault="00995826" w:rsidP="00995826">
            <w:pPr>
              <w:pStyle w:val="1"/>
              <w:jc w:val="both"/>
              <w:rPr>
                <w:szCs w:val="22"/>
              </w:rPr>
            </w:pPr>
            <w:r w:rsidRPr="00874A70">
              <w:rPr>
                <w:szCs w:val="22"/>
              </w:rPr>
              <w:t>Interconnectors</w:t>
            </w:r>
          </w:p>
        </w:tc>
        <w:tc>
          <w:tcPr>
            <w:tcW w:w="1915" w:type="dxa"/>
          </w:tcPr>
          <w:p w14:paraId="4730629E" w14:textId="77777777" w:rsidR="00995826" w:rsidRPr="00874A70" w:rsidRDefault="00995826" w:rsidP="00995826">
            <w:pPr>
              <w:pStyle w:val="1"/>
              <w:jc w:val="center"/>
              <w:rPr>
                <w:szCs w:val="22"/>
              </w:rPr>
            </w:pPr>
            <w:r w:rsidRPr="00874A70">
              <w:rPr>
                <w:szCs w:val="22"/>
              </w:rPr>
              <w:t>Fixed (0%)</w:t>
            </w:r>
          </w:p>
        </w:tc>
        <w:tc>
          <w:tcPr>
            <w:tcW w:w="1860" w:type="dxa"/>
          </w:tcPr>
          <w:p w14:paraId="26441AB8" w14:textId="77777777" w:rsidR="00995826" w:rsidRPr="00874A70" w:rsidRDefault="00995826" w:rsidP="00995826">
            <w:pPr>
              <w:pStyle w:val="1"/>
              <w:jc w:val="center"/>
              <w:rPr>
                <w:szCs w:val="22"/>
              </w:rPr>
            </w:pPr>
            <w:r w:rsidRPr="00874A70">
              <w:rPr>
                <w:szCs w:val="22"/>
              </w:rPr>
              <w:t>Fixed (100%)</w:t>
            </w:r>
          </w:p>
        </w:tc>
        <w:tc>
          <w:tcPr>
            <w:tcW w:w="1501" w:type="dxa"/>
          </w:tcPr>
          <w:p w14:paraId="406DA189" w14:textId="191EE14A" w:rsidR="00995826" w:rsidRPr="00874A70" w:rsidRDefault="00995826" w:rsidP="00995826">
            <w:pPr>
              <w:pStyle w:val="1"/>
              <w:jc w:val="center"/>
              <w:rPr>
                <w:szCs w:val="22"/>
              </w:rPr>
            </w:pPr>
            <w:ins w:id="156" w:author="Martin Cahill [NESO]" w:date="2025-05-20T13:25:00Z" w16du:dateUtc="2025-05-20T12:25:00Z">
              <w:r>
                <w:rPr>
                  <w:szCs w:val="22"/>
                </w:rPr>
                <w:t>N/A</w:t>
              </w:r>
            </w:ins>
          </w:p>
        </w:tc>
      </w:tr>
      <w:tr w:rsidR="00995826" w:rsidRPr="00506BD8" w14:paraId="4C8CC99E" w14:textId="599CB976" w:rsidTr="003309BF">
        <w:tc>
          <w:tcPr>
            <w:tcW w:w="2094" w:type="dxa"/>
          </w:tcPr>
          <w:p w14:paraId="3171B248" w14:textId="77777777" w:rsidR="00995826" w:rsidRPr="00874A70" w:rsidRDefault="00995826" w:rsidP="00995826">
            <w:pPr>
              <w:pStyle w:val="1"/>
              <w:jc w:val="both"/>
              <w:rPr>
                <w:szCs w:val="22"/>
              </w:rPr>
            </w:pPr>
            <w:r w:rsidRPr="00874A70">
              <w:rPr>
                <w:szCs w:val="22"/>
              </w:rPr>
              <w:t>Hydro</w:t>
            </w:r>
          </w:p>
        </w:tc>
        <w:tc>
          <w:tcPr>
            <w:tcW w:w="1915" w:type="dxa"/>
          </w:tcPr>
          <w:p w14:paraId="71D14826" w14:textId="77777777" w:rsidR="00995826" w:rsidRPr="00874A70" w:rsidRDefault="00995826" w:rsidP="00995826">
            <w:pPr>
              <w:pStyle w:val="1"/>
              <w:jc w:val="center"/>
              <w:rPr>
                <w:szCs w:val="22"/>
              </w:rPr>
            </w:pPr>
            <w:r w:rsidRPr="00874A70">
              <w:rPr>
                <w:szCs w:val="22"/>
              </w:rPr>
              <w:t>Variable</w:t>
            </w:r>
          </w:p>
        </w:tc>
        <w:tc>
          <w:tcPr>
            <w:tcW w:w="1860" w:type="dxa"/>
          </w:tcPr>
          <w:p w14:paraId="04C9CB66" w14:textId="67ECBB71" w:rsidR="00995826" w:rsidRPr="00874A70" w:rsidRDefault="00995826" w:rsidP="00995826">
            <w:pPr>
              <w:pStyle w:val="1"/>
              <w:jc w:val="center"/>
              <w:rPr>
                <w:szCs w:val="22"/>
              </w:rPr>
            </w:pPr>
            <w:r w:rsidRPr="00874A70">
              <w:rPr>
                <w:szCs w:val="22"/>
              </w:rPr>
              <w:t>Variable</w:t>
            </w:r>
            <w:r>
              <w:rPr>
                <w:szCs w:val="22"/>
              </w:rPr>
              <w:t xml:space="preserve"> (&gt;10%)</w:t>
            </w:r>
          </w:p>
        </w:tc>
        <w:tc>
          <w:tcPr>
            <w:tcW w:w="1501" w:type="dxa"/>
          </w:tcPr>
          <w:p w14:paraId="1E46569F" w14:textId="50B586C2" w:rsidR="00995826" w:rsidRPr="00874A70" w:rsidRDefault="00995826" w:rsidP="00995826">
            <w:pPr>
              <w:pStyle w:val="1"/>
              <w:jc w:val="center"/>
              <w:rPr>
                <w:szCs w:val="22"/>
              </w:rPr>
            </w:pPr>
            <w:ins w:id="157" w:author="Martin Cahill [NESO]" w:date="2025-05-20T13:25:00Z" w16du:dateUtc="2025-05-20T12:25:00Z">
              <w:r>
                <w:rPr>
                  <w:szCs w:val="22"/>
                </w:rPr>
                <w:t>Conventional Low Carbon</w:t>
              </w:r>
            </w:ins>
          </w:p>
        </w:tc>
      </w:tr>
      <w:tr w:rsidR="00995826" w:rsidRPr="00506BD8" w14:paraId="11CB4A1A" w14:textId="17D2C4C9" w:rsidTr="003309BF">
        <w:tc>
          <w:tcPr>
            <w:tcW w:w="2094" w:type="dxa"/>
          </w:tcPr>
          <w:p w14:paraId="501F89C4" w14:textId="77777777" w:rsidR="00995826" w:rsidRPr="00874A70" w:rsidRDefault="00995826" w:rsidP="00995826">
            <w:pPr>
              <w:pStyle w:val="1"/>
              <w:jc w:val="both"/>
              <w:rPr>
                <w:szCs w:val="22"/>
              </w:rPr>
            </w:pPr>
            <w:r w:rsidRPr="00874A70">
              <w:rPr>
                <w:szCs w:val="22"/>
              </w:rPr>
              <w:t>Pumped Storage</w:t>
            </w:r>
          </w:p>
        </w:tc>
        <w:tc>
          <w:tcPr>
            <w:tcW w:w="1915" w:type="dxa"/>
          </w:tcPr>
          <w:p w14:paraId="64F4F619" w14:textId="77777777" w:rsidR="00995826" w:rsidRPr="00874A70" w:rsidRDefault="00995826" w:rsidP="00995826">
            <w:pPr>
              <w:pStyle w:val="1"/>
              <w:jc w:val="center"/>
              <w:rPr>
                <w:szCs w:val="22"/>
              </w:rPr>
            </w:pPr>
            <w:r w:rsidRPr="00874A70">
              <w:rPr>
                <w:szCs w:val="22"/>
              </w:rPr>
              <w:t>Variable</w:t>
            </w:r>
          </w:p>
        </w:tc>
        <w:tc>
          <w:tcPr>
            <w:tcW w:w="1860" w:type="dxa"/>
          </w:tcPr>
          <w:p w14:paraId="24920B61" w14:textId="77777777" w:rsidR="00995826" w:rsidRPr="00874A70" w:rsidRDefault="00995826" w:rsidP="00995826">
            <w:pPr>
              <w:pStyle w:val="1"/>
              <w:jc w:val="center"/>
              <w:rPr>
                <w:szCs w:val="22"/>
              </w:rPr>
            </w:pPr>
            <w:r w:rsidRPr="00874A70">
              <w:rPr>
                <w:szCs w:val="22"/>
              </w:rPr>
              <w:t>Fixed (50%)</w:t>
            </w:r>
          </w:p>
        </w:tc>
        <w:tc>
          <w:tcPr>
            <w:tcW w:w="1501" w:type="dxa"/>
          </w:tcPr>
          <w:p w14:paraId="1CFC8EDD" w14:textId="5EFFA720" w:rsidR="00995826" w:rsidRPr="00874A70" w:rsidRDefault="00995826" w:rsidP="00995826">
            <w:pPr>
              <w:pStyle w:val="1"/>
              <w:jc w:val="center"/>
              <w:rPr>
                <w:szCs w:val="22"/>
              </w:rPr>
            </w:pPr>
            <w:ins w:id="158" w:author="Martin Cahill [NESO]" w:date="2025-05-20T13:25:00Z" w16du:dateUtc="2025-05-20T12:25:00Z">
              <w:r>
                <w:rPr>
                  <w:szCs w:val="22"/>
                </w:rPr>
                <w:t>Conventional Carbon</w:t>
              </w:r>
            </w:ins>
          </w:p>
        </w:tc>
      </w:tr>
      <w:tr w:rsidR="00995826" w:rsidRPr="00506BD8" w14:paraId="5F4836F2" w14:textId="14EEED31" w:rsidTr="003309BF">
        <w:tc>
          <w:tcPr>
            <w:tcW w:w="2094" w:type="dxa"/>
          </w:tcPr>
          <w:p w14:paraId="3EE69452" w14:textId="77777777" w:rsidR="00995826" w:rsidRPr="00874A70" w:rsidRDefault="00995826" w:rsidP="00995826">
            <w:pPr>
              <w:pStyle w:val="1"/>
              <w:jc w:val="both"/>
              <w:rPr>
                <w:szCs w:val="22"/>
              </w:rPr>
            </w:pPr>
            <w:r w:rsidRPr="00874A70">
              <w:rPr>
                <w:szCs w:val="22"/>
              </w:rPr>
              <w:t>Peaking</w:t>
            </w:r>
          </w:p>
        </w:tc>
        <w:tc>
          <w:tcPr>
            <w:tcW w:w="1915" w:type="dxa"/>
          </w:tcPr>
          <w:p w14:paraId="2ED4F591" w14:textId="77777777" w:rsidR="00995826" w:rsidRPr="00874A70" w:rsidRDefault="00995826" w:rsidP="00995826">
            <w:pPr>
              <w:pStyle w:val="1"/>
              <w:jc w:val="center"/>
              <w:rPr>
                <w:szCs w:val="22"/>
              </w:rPr>
            </w:pPr>
            <w:r w:rsidRPr="00874A70">
              <w:rPr>
                <w:szCs w:val="22"/>
              </w:rPr>
              <w:t>Variable</w:t>
            </w:r>
          </w:p>
        </w:tc>
        <w:tc>
          <w:tcPr>
            <w:tcW w:w="1860" w:type="dxa"/>
          </w:tcPr>
          <w:p w14:paraId="3ADD851B" w14:textId="77777777" w:rsidR="00995826" w:rsidRPr="00874A70" w:rsidRDefault="00995826" w:rsidP="00995826">
            <w:pPr>
              <w:pStyle w:val="1"/>
              <w:jc w:val="center"/>
              <w:rPr>
                <w:szCs w:val="22"/>
              </w:rPr>
            </w:pPr>
            <w:r w:rsidRPr="00874A70">
              <w:rPr>
                <w:szCs w:val="22"/>
              </w:rPr>
              <w:t>Fixed  (0%)</w:t>
            </w:r>
          </w:p>
        </w:tc>
        <w:tc>
          <w:tcPr>
            <w:tcW w:w="1501" w:type="dxa"/>
          </w:tcPr>
          <w:p w14:paraId="7AC8A5DF" w14:textId="10BB70FC" w:rsidR="00995826" w:rsidRPr="00874A70" w:rsidRDefault="00995826" w:rsidP="00995826">
            <w:pPr>
              <w:pStyle w:val="1"/>
              <w:jc w:val="center"/>
              <w:rPr>
                <w:szCs w:val="22"/>
              </w:rPr>
            </w:pPr>
            <w:ins w:id="159" w:author="Martin Cahill [NESO]" w:date="2025-05-20T13:25:00Z" w16du:dateUtc="2025-05-20T12:25:00Z">
              <w:r>
                <w:rPr>
                  <w:szCs w:val="22"/>
                </w:rPr>
                <w:t>Conventional Carbon</w:t>
              </w:r>
            </w:ins>
          </w:p>
        </w:tc>
      </w:tr>
      <w:tr w:rsidR="00995826" w:rsidRPr="00506BD8" w14:paraId="4A8BF391" w14:textId="5EC0EF70" w:rsidTr="003309BF">
        <w:tc>
          <w:tcPr>
            <w:tcW w:w="2094" w:type="dxa"/>
          </w:tcPr>
          <w:p w14:paraId="7070CF75" w14:textId="77777777" w:rsidR="00995826" w:rsidRPr="00874A70" w:rsidRDefault="00995826" w:rsidP="00995826">
            <w:pPr>
              <w:pStyle w:val="1"/>
              <w:jc w:val="both"/>
              <w:rPr>
                <w:szCs w:val="22"/>
              </w:rPr>
            </w:pPr>
            <w:r w:rsidRPr="00874A70">
              <w:rPr>
                <w:szCs w:val="22"/>
              </w:rPr>
              <w:t>Other (Conventional)</w:t>
            </w:r>
          </w:p>
        </w:tc>
        <w:tc>
          <w:tcPr>
            <w:tcW w:w="1915" w:type="dxa"/>
          </w:tcPr>
          <w:p w14:paraId="32D3AAC6" w14:textId="77777777" w:rsidR="00995826" w:rsidRPr="00874A70" w:rsidRDefault="00995826" w:rsidP="00995826">
            <w:pPr>
              <w:pStyle w:val="1"/>
              <w:jc w:val="center"/>
              <w:rPr>
                <w:szCs w:val="22"/>
              </w:rPr>
            </w:pPr>
            <w:r w:rsidRPr="00874A70">
              <w:rPr>
                <w:szCs w:val="22"/>
              </w:rPr>
              <w:t>Variable</w:t>
            </w:r>
          </w:p>
        </w:tc>
        <w:tc>
          <w:tcPr>
            <w:tcW w:w="1860" w:type="dxa"/>
          </w:tcPr>
          <w:p w14:paraId="7D4B3DBA" w14:textId="0329E6FF" w:rsidR="00995826" w:rsidRPr="00874A70" w:rsidRDefault="00995826" w:rsidP="00995826">
            <w:pPr>
              <w:pStyle w:val="1"/>
              <w:jc w:val="center"/>
              <w:rPr>
                <w:szCs w:val="22"/>
              </w:rPr>
            </w:pPr>
            <w:r w:rsidRPr="00874A70">
              <w:rPr>
                <w:szCs w:val="22"/>
              </w:rPr>
              <w:t>Variable</w:t>
            </w:r>
            <w:r>
              <w:rPr>
                <w:szCs w:val="22"/>
              </w:rPr>
              <w:t xml:space="preserve"> (&gt;10%)</w:t>
            </w:r>
          </w:p>
        </w:tc>
        <w:tc>
          <w:tcPr>
            <w:tcW w:w="1501" w:type="dxa"/>
          </w:tcPr>
          <w:p w14:paraId="27DDF5F8" w14:textId="01EA3EC7" w:rsidR="00995826" w:rsidRPr="00874A70" w:rsidRDefault="00995826" w:rsidP="00995826">
            <w:pPr>
              <w:pStyle w:val="1"/>
              <w:jc w:val="center"/>
              <w:rPr>
                <w:szCs w:val="22"/>
              </w:rPr>
            </w:pPr>
            <w:ins w:id="160" w:author="Martin Cahill [NESO]" w:date="2025-05-20T13:25:00Z" w16du:dateUtc="2025-05-20T12:25:00Z">
              <w:r>
                <w:rPr>
                  <w:szCs w:val="22"/>
                </w:rPr>
                <w:t>Conventional Carbon</w:t>
              </w:r>
            </w:ins>
          </w:p>
        </w:tc>
      </w:tr>
    </w:tbl>
    <w:p w14:paraId="760BEA33" w14:textId="77777777" w:rsidR="00940F3A" w:rsidRDefault="00940F3A" w:rsidP="00940F3A">
      <w:pPr>
        <w:pStyle w:val="1"/>
        <w:ind w:left="1987"/>
        <w:jc w:val="both"/>
      </w:pPr>
    </w:p>
    <w:p w14:paraId="1C439022" w14:textId="77777777" w:rsidR="00E60050" w:rsidRDefault="00E60050" w:rsidP="00E60050">
      <w:pPr>
        <w:pStyle w:val="1"/>
        <w:ind w:left="1560"/>
        <w:jc w:val="both"/>
      </w:pPr>
      <w:r>
        <w:t>14.21 includes an example of adjusting scaling factors to ensure compliance with the floor.</w:t>
      </w:r>
    </w:p>
    <w:p w14:paraId="2BEA4AB3" w14:textId="77777777" w:rsidR="00E60050" w:rsidRDefault="00E60050" w:rsidP="006D74BD">
      <w:pPr>
        <w:pStyle w:val="1"/>
        <w:ind w:left="1560"/>
        <w:jc w:val="both"/>
      </w:pPr>
    </w:p>
    <w:p w14:paraId="42248F47" w14:textId="34EB9D3C" w:rsidR="00940F3A" w:rsidRDefault="00940F3A" w:rsidP="0077275A">
      <w:pPr>
        <w:pStyle w:val="1"/>
        <w:numPr>
          <w:ilvl w:val="0"/>
          <w:numId w:val="51"/>
        </w:numPr>
        <w:ind w:left="1920"/>
        <w:jc w:val="both"/>
        <w:rPr>
          <w:ins w:id="161" w:author="Martin Cahill [NESO]" w:date="2025-05-20T13:26:00Z" w16du:dateUtc="2025-05-20T12:26:00Z"/>
        </w:rPr>
      </w:pPr>
      <w:r>
        <w:t>The</w:t>
      </w:r>
      <w:r w:rsidR="00E60050">
        <w:t xml:space="preserve"> base</w:t>
      </w:r>
      <w:r>
        <w:t xml:space="preserve"> scaling factors and generation plant types are set out in the Security Standard. These may be reviewed from time to time. The latest version will be used in the calculation of TNUoS tariffs and is published in the Statement of Use of System Charges</w:t>
      </w:r>
    </w:p>
    <w:p w14:paraId="1E193144" w14:textId="73109F8A" w:rsidR="00E76804" w:rsidRDefault="00E76804" w:rsidP="00414582">
      <w:pPr>
        <w:pStyle w:val="1"/>
        <w:numPr>
          <w:ilvl w:val="0"/>
          <w:numId w:val="51"/>
        </w:numPr>
        <w:ind w:left="1920"/>
        <w:jc w:val="both"/>
        <w:rPr>
          <w:ins w:id="162" w:author="Martin Cahill [NESO]" w:date="2025-05-20T13:27:00Z" w16du:dateUtc="2025-05-20T12:27:00Z"/>
        </w:rPr>
      </w:pPr>
      <w:ins w:id="163" w:author="Martin Cahill [NESO]" w:date="2025-05-20T13:26:00Z" w16du:dateUtc="2025-05-20T12:26:00Z">
        <w:r>
          <w:t xml:space="preserve">For the purposes of multi technology </w:t>
        </w:r>
        <w:r w:rsidRPr="007F2EF6">
          <w:rPr>
            <w:b/>
            <w:bCs/>
          </w:rPr>
          <w:t>Power Station</w:t>
        </w:r>
        <w:r>
          <w:t xml:space="preserve"> charging, “technology type” shall categorise a </w:t>
        </w:r>
        <w:r w:rsidR="00474511" w:rsidRPr="006D4585">
          <w:rPr>
            <w:b/>
            <w:bCs/>
          </w:rPr>
          <w:t>Generator</w:t>
        </w:r>
        <w:r>
          <w:t xml:space="preserve"> as either Conventional Carbon, Conventional Low Carbon, or Intermittent as per the table above. Technology type may include more than one generation plant type</w:t>
        </w:r>
      </w:ins>
    </w:p>
    <w:p w14:paraId="66BFE2DD" w14:textId="77777777" w:rsidR="007F2EF6" w:rsidRPr="002B208C" w:rsidRDefault="007F2EF6" w:rsidP="007F2EF6">
      <w:pPr>
        <w:pStyle w:val="1"/>
        <w:numPr>
          <w:ilvl w:val="0"/>
          <w:numId w:val="51"/>
        </w:numPr>
        <w:ind w:left="1920"/>
        <w:jc w:val="both"/>
        <w:rPr>
          <w:ins w:id="164" w:author="Martin Cahill [NESO]" w:date="2025-05-20T13:27:00Z" w16du:dateUtc="2025-05-20T12:27:00Z"/>
        </w:rPr>
      </w:pPr>
      <w:ins w:id="165" w:author="Martin Cahill [NESO]" w:date="2025-05-20T13:27:00Z" w16du:dateUtc="2025-05-20T12:27:00Z">
        <w:r w:rsidRPr="002B208C">
          <w:t xml:space="preserve">For a multi technology </w:t>
        </w:r>
        <w:r w:rsidRPr="002B208C">
          <w:rPr>
            <w:b/>
            <w:bCs/>
          </w:rPr>
          <w:t>Power Station</w:t>
        </w:r>
        <w:r w:rsidRPr="002B208C">
          <w:t xml:space="preserve">, the technology type assigned to each </w:t>
        </w:r>
        <w:r w:rsidRPr="002B208C">
          <w:rPr>
            <w:b/>
            <w:bCs/>
          </w:rPr>
          <w:t>BM Unit</w:t>
        </w:r>
        <w:r w:rsidRPr="002B208C">
          <w:t xml:space="preserve"> will be based on the category as contained in the relevant </w:t>
        </w:r>
        <w:r w:rsidRPr="002B208C">
          <w:rPr>
            <w:b/>
            <w:bCs/>
          </w:rPr>
          <w:t>Bilateral Connection Agreement</w:t>
        </w:r>
        <w:r w:rsidRPr="002B208C">
          <w:t xml:space="preserve"> or </w:t>
        </w:r>
        <w:r w:rsidRPr="002B208C">
          <w:rPr>
            <w:b/>
            <w:bCs/>
          </w:rPr>
          <w:t>Bilateral Embedded Generation Agreement</w:t>
        </w:r>
        <w:r w:rsidRPr="002B208C">
          <w:t>.</w:t>
        </w:r>
      </w:ins>
    </w:p>
    <w:p w14:paraId="6A6F339D" w14:textId="77777777" w:rsidR="007F2EF6" w:rsidRPr="002B208C" w:rsidRDefault="007F2EF6" w:rsidP="007F2EF6">
      <w:pPr>
        <w:pStyle w:val="1"/>
        <w:numPr>
          <w:ilvl w:val="0"/>
          <w:numId w:val="51"/>
        </w:numPr>
        <w:ind w:left="1920"/>
        <w:jc w:val="both"/>
        <w:rPr>
          <w:ins w:id="166" w:author="Martin Cahill [NESO]" w:date="2025-05-20T13:27:00Z" w16du:dateUtc="2025-05-20T12:27:00Z"/>
        </w:rPr>
      </w:pPr>
      <w:ins w:id="167" w:author="Martin Cahill [NESO]" w:date="2025-05-20T13:27:00Z" w16du:dateUtc="2025-05-20T12:27:00Z">
        <w:r w:rsidRPr="002B208C">
          <w:t xml:space="preserve">A single technology </w:t>
        </w:r>
        <w:r w:rsidRPr="002B208C">
          <w:rPr>
            <w:b/>
            <w:bCs/>
          </w:rPr>
          <w:t>Power Station</w:t>
        </w:r>
        <w:r w:rsidRPr="002B208C">
          <w:t xml:space="preserve"> utilises one technology type to produce electricity</w:t>
        </w:r>
      </w:ins>
    </w:p>
    <w:p w14:paraId="471C0D7D" w14:textId="042D48C4" w:rsidR="007F2EF6" w:rsidRPr="002B208C" w:rsidRDefault="007F2EF6" w:rsidP="007F2EF6">
      <w:pPr>
        <w:pStyle w:val="1"/>
        <w:numPr>
          <w:ilvl w:val="0"/>
          <w:numId w:val="51"/>
        </w:numPr>
        <w:ind w:left="1920"/>
        <w:jc w:val="both"/>
        <w:rPr>
          <w:ins w:id="168" w:author="Martin Cahill [NESO]" w:date="2025-05-20T13:27:00Z" w16du:dateUtc="2025-05-20T12:27:00Z"/>
        </w:rPr>
      </w:pPr>
      <w:ins w:id="169" w:author="Martin Cahill [NESO]" w:date="2025-05-20T13:27:00Z" w16du:dateUtc="2025-05-20T12:27:00Z">
        <w:r w:rsidRPr="002B208C">
          <w:t xml:space="preserve">A multi technology </w:t>
        </w:r>
        <w:r w:rsidRPr="002B208C">
          <w:rPr>
            <w:b/>
            <w:bCs/>
          </w:rPr>
          <w:t>Power Station</w:t>
        </w:r>
        <w:r w:rsidRPr="002B208C">
          <w:t xml:space="preserve"> utilises more than one technology type to produce electricity. Nodal generation for a multi technology </w:t>
        </w:r>
        <w:r w:rsidRPr="002B208C">
          <w:rPr>
            <w:b/>
            <w:bCs/>
          </w:rPr>
          <w:t>Power Station</w:t>
        </w:r>
        <w:r w:rsidRPr="002B208C">
          <w:t xml:space="preserve"> uses MTEC as per paragraph 14.18.7</w:t>
        </w:r>
      </w:ins>
      <w:r w:rsidR="007B476E">
        <w:t>.</w:t>
      </w:r>
    </w:p>
    <w:p w14:paraId="1A3E4D21" w14:textId="77777777" w:rsidR="007F2EF6" w:rsidRPr="002B208C" w:rsidRDefault="007F2EF6" w:rsidP="007F2EF6">
      <w:pPr>
        <w:pStyle w:val="1"/>
        <w:numPr>
          <w:ilvl w:val="0"/>
          <w:numId w:val="51"/>
        </w:numPr>
        <w:ind w:left="1920"/>
        <w:jc w:val="both"/>
        <w:rPr>
          <w:ins w:id="170" w:author="Martin Cahill [NESO]" w:date="2025-05-20T13:27:00Z" w16du:dateUtc="2025-05-20T12:27:00Z"/>
        </w:rPr>
      </w:pPr>
      <w:proofErr w:type="gramStart"/>
      <w:ins w:id="171" w:author="Martin Cahill [NESO]" w:date="2025-05-20T13:27:00Z" w16du:dateUtc="2025-05-20T12:27:00Z">
        <w:r w:rsidRPr="002B208C">
          <w:t>In the event that</w:t>
        </w:r>
        <w:proofErr w:type="gramEnd"/>
        <w:r w:rsidRPr="002B208C">
          <w:t xml:space="preserve"> a multi technology </w:t>
        </w:r>
        <w:r w:rsidRPr="002B208C">
          <w:rPr>
            <w:b/>
            <w:bCs/>
          </w:rPr>
          <w:t>Power Station</w:t>
        </w:r>
        <w:r w:rsidRPr="002B208C">
          <w:t xml:space="preserve"> does not have appropriate metering, refer to further guidance made available. Further guidance made available from </w:t>
        </w:r>
        <w:r w:rsidRPr="002B208C">
          <w:rPr>
            <w:b/>
            <w:bCs/>
          </w:rPr>
          <w:t>The Company</w:t>
        </w:r>
        <w:r w:rsidRPr="002B208C">
          <w:t xml:space="preserve"> from time to time will provide further detail on treatment of multi technology </w:t>
        </w:r>
        <w:r w:rsidRPr="002B208C">
          <w:rPr>
            <w:b/>
            <w:bCs/>
          </w:rPr>
          <w:t>Power Stations</w:t>
        </w:r>
        <w:r w:rsidRPr="002B208C">
          <w:t xml:space="preserve">. Where inconsistencies or conflicts exist between the </w:t>
        </w:r>
        <w:r w:rsidRPr="002B208C">
          <w:rPr>
            <w:b/>
            <w:bCs/>
          </w:rPr>
          <w:t>CUSC</w:t>
        </w:r>
        <w:r w:rsidRPr="002B208C">
          <w:t xml:space="preserve"> and that guidance, the </w:t>
        </w:r>
        <w:r w:rsidRPr="002B208C">
          <w:rPr>
            <w:b/>
            <w:bCs/>
          </w:rPr>
          <w:t>CUSC</w:t>
        </w:r>
        <w:r w:rsidRPr="002B208C">
          <w:t xml:space="preserve"> shall take precedence.</w:t>
        </w:r>
      </w:ins>
    </w:p>
    <w:p w14:paraId="1426E20D" w14:textId="77777777" w:rsidR="007F2EF6" w:rsidRDefault="007F2EF6" w:rsidP="006D4585">
      <w:pPr>
        <w:pStyle w:val="1"/>
        <w:ind w:left="1920"/>
        <w:jc w:val="both"/>
      </w:pPr>
    </w:p>
    <w:p w14:paraId="0F996E3D" w14:textId="77777777" w:rsidR="00940F3A" w:rsidRDefault="00940F3A" w:rsidP="00940F3A">
      <w:pPr>
        <w:pStyle w:val="1"/>
        <w:ind w:left="1080"/>
        <w:jc w:val="both"/>
      </w:pPr>
    </w:p>
    <w:p w14:paraId="0C26CCAA" w14:textId="185FB6EA"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ins w:id="172" w:author="Martin Cahill [NESO]" w:date="2025-06-03T17:52:00Z" w16du:dateUtc="2025-06-03T16:52:00Z">
        <w:r w:rsidR="00F62A6A">
          <w:t>.</w:t>
        </w:r>
      </w:ins>
      <w:r w:rsidR="00940F3A" w:rsidRPr="0002711E">
        <w:t xml:space="preserve"> </w:t>
      </w:r>
      <w:del w:id="173" w:author="Martin Cahill [NESO]" w:date="2025-06-03T17:52:00Z" w16du:dateUtc="2025-06-03T16:52:00Z">
        <w:r w:rsidR="00940F3A" w:rsidRPr="0002711E" w:rsidDel="00F62A6A">
          <w:delText>In the event that a power station is made up of more than one technology type, the type of the higher Transmission Entry Capacity (TEC) would apply.</w:delText>
        </w:r>
      </w:del>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57CCAA53" w:rsidR="006661FE" w:rsidRDefault="5083A541" w:rsidP="007D27B2">
      <w:pPr>
        <w:pStyle w:val="1"/>
        <w:numPr>
          <w:ilvl w:val="0"/>
          <w:numId w:val="70"/>
        </w:numPr>
        <w:jc w:val="both"/>
      </w:pPr>
      <w:r>
        <w:t xml:space="preserve">Nodal </w:t>
      </w:r>
      <w:r w:rsidR="689A9636">
        <w:t xml:space="preserve">net </w:t>
      </w:r>
      <w:r>
        <w:t>demand data for the transport model</w:t>
      </w:r>
      <w:r>
        <w:fldChar w:fldCharType="begin"/>
      </w:r>
      <w:r>
        <w:instrText xml:space="preserve"> XE "transport model" </w:instrText>
      </w:r>
      <w:r>
        <w:fldChar w:fldCharType="end"/>
      </w:r>
      <w:r>
        <w:t xml:space="preserve"> will be based upon the GSP </w:t>
      </w:r>
      <w:r w:rsidR="689A9636">
        <w:t xml:space="preserve">net </w:t>
      </w:r>
      <w:r>
        <w:t xml:space="preserve">demand that Users have forecast to occur at the time of </w:t>
      </w:r>
      <w:r w:rsidR="70C6496F">
        <w:t xml:space="preserve">Annual </w:t>
      </w:r>
      <w:r>
        <w:t xml:space="preserve">Average Cold Spell (ACS) Demand for year "t" in the April </w:t>
      </w:r>
      <w:r>
        <w:fldChar w:fldCharType="begin"/>
      </w:r>
      <w:r>
        <w:instrText xml:space="preserve"> XE "Seven Year Statement" </w:instrText>
      </w:r>
      <w:r>
        <w:fldChar w:fldCharType="end"/>
      </w:r>
      <w:r w:rsidR="1CA6F4F8" w:rsidRPr="009919C1">
        <w:rPr>
          <w:b/>
          <w:bCs/>
        </w:rPr>
        <w:t xml:space="preserve">Electricity Ten Year Statement (ETYS) </w:t>
      </w:r>
      <w:r>
        <w:t xml:space="preserve">for year "t-1" plus updates to the October of year "t-1".  </w:t>
      </w:r>
    </w:p>
    <w:p w14:paraId="2073D5FA" w14:textId="77777777" w:rsidR="006661FE" w:rsidRDefault="006661FE" w:rsidP="006661FE">
      <w:pPr>
        <w:rPr>
          <w:rFonts w:ascii="Arial" w:hAnsi="Arial"/>
        </w:rPr>
      </w:pPr>
    </w:p>
    <w:p w14:paraId="16E4A320" w14:textId="70E64308" w:rsidR="006661FE" w:rsidRDefault="40E13AD1" w:rsidP="007D27B2">
      <w:pPr>
        <w:pStyle w:val="1"/>
        <w:numPr>
          <w:ilvl w:val="0"/>
          <w:numId w:val="70"/>
        </w:numPr>
        <w:jc w:val="both"/>
      </w:pPr>
      <w:r>
        <w:t>Subject to paragraphs 14.15.</w:t>
      </w:r>
      <w:r w:rsidR="03259192">
        <w:t>15</w:t>
      </w:r>
      <w:r>
        <w:t xml:space="preserve"> to 14.15.</w:t>
      </w:r>
      <w:r w:rsidR="03259192">
        <w:t>22</w:t>
      </w:r>
      <w:r w:rsidR="2564E9E7">
        <w:t>,</w:t>
      </w:r>
      <w:r>
        <w:t xml:space="preserve">  Transmission ci</w:t>
      </w:r>
      <w:r w:rsidR="5083A541">
        <w:t xml:space="preserve">rcuits for </w:t>
      </w:r>
      <w:r w:rsidR="1A0A6E3F" w:rsidRPr="03871E98">
        <w:rPr>
          <w:b/>
          <w:bCs/>
        </w:rPr>
        <w:t>Financial Year</w:t>
      </w:r>
      <w:r w:rsidR="5083A541">
        <w:t xml:space="preserve"> "t" will be defined as those with existing wayleaves for the year "t" with the associated lengths based on the circuit lengths indicated for year "t" in the April NETS </w:t>
      </w:r>
      <w:r>
        <w:fldChar w:fldCharType="begin"/>
      </w:r>
      <w:r>
        <w:instrText xml:space="preserve"> XE "Seven Year Statement" </w:instrText>
      </w:r>
      <w:r>
        <w:fldChar w:fldCharType="end"/>
      </w:r>
      <w:r w:rsidR="127C8AA6" w:rsidRPr="009919C1">
        <w:rPr>
          <w:b/>
          <w:bCs/>
        </w:rPr>
        <w:t xml:space="preserve">Electricity Ten Year Statement (ETYS) </w:t>
      </w:r>
      <w:r w:rsidR="5083A541">
        <w:t xml:space="preserve">for year "t-1" plus updates to October of year "t-1".  If certain circuit information is not explicitly contained in the NETS </w:t>
      </w:r>
      <w:r w:rsidR="0A4A7F78">
        <w:t xml:space="preserve"> </w:t>
      </w:r>
      <w:r w:rsidR="0A4A7F78" w:rsidRPr="009919C1">
        <w:rPr>
          <w:b/>
          <w:bCs/>
        </w:rPr>
        <w:t>Electricity Ten Year Statement (ETYS)</w:t>
      </w:r>
      <w:r w:rsidR="5083A541" w:rsidRPr="009919C1">
        <w:rPr>
          <w:b/>
          <w:bCs/>
        </w:rPr>
        <w:t xml:space="preserve">, </w:t>
      </w:r>
      <w:r w:rsidR="4C0F0931" w:rsidRPr="03871E98">
        <w:rPr>
          <w:b/>
          <w:bCs/>
        </w:rPr>
        <w:t>The Company</w:t>
      </w:r>
      <w:r w:rsidR="5083A541">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(i)</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case by case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Connection Entry Capacity (CEC) before Transmission Entry Capacity (TEC). A User asks for a connection in a year prior to the relating TEC;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4CA68E87" w:rsidR="00125177" w:rsidRDefault="4C0F0931" w:rsidP="007D27B2">
      <w:pPr>
        <w:pStyle w:val="1"/>
        <w:numPr>
          <w:ilvl w:val="0"/>
          <w:numId w:val="70"/>
        </w:numPr>
        <w:jc w:val="both"/>
      </w:pPr>
      <w:r w:rsidRPr="03871E98">
        <w:rPr>
          <w:b/>
          <w:bCs/>
        </w:rPr>
        <w:t>The Company</w:t>
      </w:r>
      <w:r w:rsidR="3FDB1455">
        <w:t xml:space="preserve"> shall publish any adjusted transport model inputs that it intends to use in the calculation of TNUoS tariffs effective from the year commencing on the following 1</w:t>
      </w:r>
      <w:r w:rsidR="3FDB1455" w:rsidRPr="03871E98">
        <w:rPr>
          <w:vertAlign w:val="superscript"/>
        </w:rPr>
        <w:t>st</w:t>
      </w:r>
      <w:r w:rsidR="3FDB1455">
        <w:t xml:space="preserve"> April in the NETS </w:t>
      </w:r>
      <w:r w:rsidR="0E2CF138" w:rsidRPr="009919C1">
        <w:rPr>
          <w:b/>
          <w:bCs/>
        </w:rPr>
        <w:t xml:space="preserve">Electricity Ten Year Statement (ETYS) </w:t>
      </w:r>
      <w:r w:rsidR="3FDB1455">
        <w:t xml:space="preserve">October Update. Any further adjustments that </w:t>
      </w:r>
      <w:r w:rsidRPr="03871E98">
        <w:rPr>
          <w:b/>
          <w:bCs/>
        </w:rPr>
        <w:t>The Company</w:t>
      </w:r>
      <w:r w:rsidR="3FDB1455">
        <w:t xml:space="preserve"> makes shall be published by </w:t>
      </w:r>
      <w:r w:rsidRPr="03871E98">
        <w:rPr>
          <w:b/>
          <w:bCs/>
        </w:rPr>
        <w:t>The Company</w:t>
      </w:r>
      <w:r w:rsidR="3FDB1455">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74" w:name="_Toc49661109"/>
      <w:bookmarkStart w:id="175" w:name="_Toc274049680"/>
      <w:r w:rsidRPr="006661FE">
        <w:rPr>
          <w:rFonts w:ascii="Arial" w:hAnsi="Arial" w:cs="Arial"/>
          <w:b/>
        </w:rPr>
        <w:t>Model Outputs</w:t>
      </w:r>
      <w:bookmarkEnd w:id="174"/>
      <w:bookmarkEnd w:id="175"/>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Year Round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every circuit has infinite capacity. </w:t>
      </w:r>
      <w:r>
        <w:t>Flows on individual transmission circuits are compared for both backgrounds and the background giving rise to the highest flow is considered as the triggering criterion for future investment of that circuit for the purposes of the charging methodology. Therefore all circuits will be tagged as Peak Security or Year Round depending upon the background resulting in the highest flow. In the event that both backgrounds result in the same flow, the circuit will be tagged as Peak Security.</w:t>
      </w:r>
      <w:r w:rsidR="00F31F49">
        <w:t xml:space="preserve"> </w:t>
      </w:r>
      <w:r w:rsidR="006661FE">
        <w:t>Then it calculates the resultant total network</w:t>
      </w:r>
      <w:r>
        <w:t xml:space="preserve"> Peak Security MWkm and Year Round </w:t>
      </w:r>
      <w:r w:rsidR="006661FE">
        <w:t>MWkm,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s for Peak Security and Year Round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the increase or decrease in total MWkm</w:t>
      </w:r>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Year Round</w:t>
      </w:r>
      <w:r>
        <w:t xml:space="preserve"> marginal km cost for generation at each node (although not that used to calculate generation tariffs which considers local and wider cost components).  The</w:t>
      </w:r>
      <w:r w:rsidR="00251585">
        <w:t xml:space="preserve"> Peak Security and Year Round</w:t>
      </w:r>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Year Round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particular node’s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76" w:name="_Toc32201077"/>
    </w:p>
    <w:p w14:paraId="10911A77" w14:textId="77777777" w:rsidR="006661FE" w:rsidRPr="009470D8" w:rsidRDefault="006661FE" w:rsidP="006661FE">
      <w:pPr>
        <w:pStyle w:val="Heading2"/>
      </w:pPr>
      <w:bookmarkStart w:id="177" w:name="_Toc274049681"/>
      <w:bookmarkStart w:id="178" w:name="_Toc49661110"/>
      <w:r w:rsidRPr="009470D8">
        <w:t>Calculation of local nodal marginal km</w:t>
      </w:r>
      <w:bookmarkEnd w:id="177"/>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r w:rsidRPr="00830546">
        <w:t xml:space="preserve">In order to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r>
        <w:t>the  local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79" w:name="_Toc274049682"/>
      <w:r>
        <w:t>Calculation of zonal marginal km</w:t>
      </w:r>
      <w:bookmarkEnd w:id="176"/>
      <w:bookmarkEnd w:id="178"/>
      <w:bookmarkEnd w:id="179"/>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are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Year Round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r>
        <w:t>Where</w:t>
      </w:r>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t>NMkm</w:t>
      </w:r>
      <w:r w:rsidR="00F130CD" w:rsidRPr="002B62BF">
        <w:rPr>
          <w:vertAlign w:val="subscript"/>
        </w:rPr>
        <w:t>PS</w:t>
      </w:r>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r>
        <w:t>WNMkm</w:t>
      </w:r>
      <w:r w:rsidR="00F130CD" w:rsidRPr="002B62BF">
        <w:rPr>
          <w:vertAlign w:val="subscript"/>
        </w:rPr>
        <w:t>PS</w:t>
      </w:r>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r>
        <w:t>ZMkm</w:t>
      </w:r>
      <w:r w:rsidR="00F130CD" w:rsidRPr="002B62BF">
        <w:rPr>
          <w:vertAlign w:val="subscript"/>
        </w:rPr>
        <w:t>PS</w:t>
      </w:r>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80" w:name="_Ref221005180"/>
      <w:r>
        <w:t>Similarly, the</w:t>
      </w:r>
      <w:r w:rsidR="006661FE">
        <w:t xml:space="preserve"> zonal</w:t>
      </w:r>
      <w:r>
        <w:t xml:space="preserve"> Year Round</w:t>
      </w:r>
      <w:r w:rsidR="006661FE">
        <w:t xml:space="preserve"> marginal km for </w:t>
      </w:r>
      <w:r>
        <w:t xml:space="preserve">generation is </w:t>
      </w:r>
      <w:r w:rsidR="006661FE">
        <w:t>calculated as</w:t>
      </w:r>
      <w:bookmarkEnd w:id="180"/>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r>
        <w:t>Where</w:t>
      </w:r>
    </w:p>
    <w:p w14:paraId="726B91BF" w14:textId="77777777" w:rsidR="003A12C5" w:rsidRDefault="003A12C5" w:rsidP="000B6C0D">
      <w:pPr>
        <w:pStyle w:val="1"/>
        <w:ind w:left="720"/>
        <w:jc w:val="both"/>
      </w:pPr>
      <w:r>
        <w:t>NMkm</w:t>
      </w:r>
      <w:r w:rsidRPr="002B62BF">
        <w:rPr>
          <w:vertAlign w:val="subscript"/>
        </w:rPr>
        <w:t>YR</w:t>
      </w:r>
      <w:r>
        <w:tab/>
        <w:t>=</w:t>
      </w:r>
      <w:r>
        <w:tab/>
        <w:t>Year Round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r>
        <w:t>WNMkm</w:t>
      </w:r>
      <w:r w:rsidRPr="002B62BF">
        <w:rPr>
          <w:vertAlign w:val="subscript"/>
        </w:rPr>
        <w:t>YR</w:t>
      </w:r>
      <w:r>
        <w:tab/>
        <w:t>=</w:t>
      </w:r>
      <w:r>
        <w:tab/>
        <w:t>Year Round Weighted nodal marginal km</w:t>
      </w:r>
    </w:p>
    <w:p w14:paraId="122DDEEB" w14:textId="77777777" w:rsidR="003A12C5" w:rsidRDefault="003A12C5" w:rsidP="003A12C5">
      <w:pPr>
        <w:pStyle w:val="1"/>
        <w:ind w:firstLine="720"/>
        <w:jc w:val="both"/>
      </w:pPr>
      <w:r>
        <w:t>ZMkm</w:t>
      </w:r>
      <w:r w:rsidRPr="002B62BF">
        <w:rPr>
          <w:vertAlign w:val="subscript"/>
        </w:rPr>
        <w:t>YR</w:t>
      </w:r>
      <w:r>
        <w:tab/>
        <w:t>=</w:t>
      </w:r>
      <w:r>
        <w:tab/>
        <w:t>Year Round Zonal Marginal km</w:t>
      </w:r>
    </w:p>
    <w:p w14:paraId="04CDA0F6" w14:textId="77777777" w:rsidR="003A12C5" w:rsidRDefault="003A12C5" w:rsidP="003A12C5">
      <w:pPr>
        <w:pStyle w:val="1"/>
        <w:ind w:left="2880" w:hanging="2160"/>
        <w:jc w:val="both"/>
      </w:pPr>
      <w:r>
        <w:t>Gen                 =</w:t>
      </w:r>
      <w:r>
        <w:tab/>
        <w:t>Nodal Generation (scaled by the appropriate Year Round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The zonal Peak Security marginal km for demand zones are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Similarly, the zonal Year Round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are considered to be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generation  into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r w:rsidRPr="000B6C0D">
        <w:t>Where;</w:t>
      </w:r>
    </w:p>
    <w:p w14:paraId="1DB2ED05" w14:textId="77777777" w:rsidR="003A12C5" w:rsidRPr="000B6C0D" w:rsidRDefault="003A12C5" w:rsidP="003A12C5">
      <w:pPr>
        <w:pStyle w:val="1"/>
        <w:tabs>
          <w:tab w:val="left" w:pos="2040"/>
        </w:tabs>
        <w:ind w:left="2040"/>
      </w:pPr>
      <w:r w:rsidRPr="000B6C0D">
        <w:t>BIkm</w:t>
      </w:r>
      <w:r w:rsidRPr="000B6C0D">
        <w:rPr>
          <w:vertAlign w:val="subscript"/>
        </w:rPr>
        <w:t>ab</w:t>
      </w:r>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r w:rsidRPr="000B6C0D">
        <w:t>ZIkm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of;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2CB6BE5D" w:rsidR="003A12C5" w:rsidRPr="000B6C0D" w:rsidRDefault="4C0F0931" w:rsidP="009919C1">
      <w:pPr>
        <w:pStyle w:val="1"/>
        <w:numPr>
          <w:ilvl w:val="0"/>
          <w:numId w:val="70"/>
        </w:numPr>
        <w:tabs>
          <w:tab w:val="left" w:pos="2040"/>
        </w:tabs>
        <w:spacing w:line="259" w:lineRule="auto"/>
        <w:jc w:val="both"/>
      </w:pPr>
      <w:r w:rsidRPr="325E90A3">
        <w:rPr>
          <w:b/>
          <w:bCs/>
        </w:rPr>
        <w:t>The Company</w:t>
      </w:r>
      <w:r w:rsidR="251A27D0">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w:t>
      </w:r>
      <w:r w:rsidR="4991FD5E" w:rsidRPr="325E90A3">
        <w:rPr>
          <w:b/>
          <w:bCs/>
        </w:rPr>
        <w:t>ESO Licence</w:t>
      </w:r>
      <w:r w:rsidR="4991FD5E" w:rsidRPr="009919C1">
        <w:t xml:space="preserve">, the Transmission </w:t>
      </w:r>
      <w:r w:rsidR="251A27D0">
        <w:t>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Boundary sharing factors (BSFs) are derived from the comparison of the cumulative proportion of Low Carbon and Carbon generation TEC behind each of the incremental MWkm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then all Year round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are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r w:rsidRPr="000B6C0D">
        <w:t>Where;</w:t>
      </w:r>
    </w:p>
    <w:p w14:paraId="6AD73C6C" w14:textId="77777777" w:rsidR="003A12C5" w:rsidRPr="000B6C0D" w:rsidRDefault="003A12C5" w:rsidP="003A12C5">
      <w:pPr>
        <w:pStyle w:val="1"/>
        <w:tabs>
          <w:tab w:val="left" w:pos="2040"/>
        </w:tabs>
        <w:ind w:left="2040"/>
      </w:pPr>
      <w:r w:rsidRPr="000B6C0D">
        <w:t>SBIkm</w:t>
      </w:r>
      <w:r w:rsidRPr="000B6C0D">
        <w:rPr>
          <w:vertAlign w:val="subscript"/>
        </w:rPr>
        <w:t>ab</w:t>
      </w:r>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r w:rsidRPr="000B6C0D">
        <w:t>BSF</w:t>
      </w:r>
      <w:r w:rsidRPr="000B6C0D">
        <w:rPr>
          <w:vertAlign w:val="subscript"/>
        </w:rPr>
        <w:t>ab</w:t>
      </w:r>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r w:rsidRPr="000B6C0D">
        <w:t>Where;</w:t>
      </w:r>
    </w:p>
    <w:p w14:paraId="32111A62" w14:textId="77777777" w:rsidR="003A12C5" w:rsidRPr="000B6C0D" w:rsidRDefault="003A12C5" w:rsidP="003A12C5">
      <w:pPr>
        <w:pStyle w:val="1"/>
        <w:tabs>
          <w:tab w:val="left" w:pos="2040"/>
        </w:tabs>
        <w:ind w:left="2040"/>
      </w:pPr>
      <w:r w:rsidRPr="000B6C0D">
        <w:t>NSBIkm</w:t>
      </w:r>
      <w:r w:rsidRPr="000B6C0D">
        <w:rPr>
          <w:vertAlign w:val="subscript"/>
        </w:rPr>
        <w:t>ab</w:t>
      </w:r>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r w:rsidRPr="000B6C0D">
        <w:t>Where;</w:t>
      </w:r>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r w:rsidRPr="000B6C0D">
        <w:rPr>
          <w:rFonts w:ascii="Arial" w:hAnsi="Arial"/>
          <w:sz w:val="22"/>
        </w:rPr>
        <w:t>ZMkm</w:t>
      </w:r>
      <w:r w:rsidRPr="000B6C0D">
        <w:rPr>
          <w:rFonts w:ascii="Arial" w:hAnsi="Arial"/>
          <w:sz w:val="22"/>
          <w:vertAlign w:val="subscript"/>
        </w:rPr>
        <w:t>nYRS</w:t>
      </w:r>
      <w:r w:rsidRPr="000B6C0D">
        <w:rPr>
          <w:rFonts w:ascii="Arial" w:hAnsi="Arial"/>
          <w:sz w:val="22"/>
        </w:rPr>
        <w:tab/>
        <w:t>=</w:t>
      </w:r>
      <w:r w:rsidRPr="000B6C0D">
        <w:rPr>
          <w:rFonts w:ascii="Arial" w:hAnsi="Arial"/>
          <w:sz w:val="22"/>
        </w:rPr>
        <w:tab/>
        <w:t>Year Round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r w:rsidRPr="000B6C0D">
        <w:t>Where;</w:t>
      </w:r>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r w:rsidRPr="000B6C0D">
        <w:rPr>
          <w:rFonts w:ascii="Arial" w:hAnsi="Arial"/>
        </w:rPr>
        <w:t>ZMkm</w:t>
      </w:r>
      <w:r w:rsidRPr="000B6C0D">
        <w:rPr>
          <w:rFonts w:ascii="Arial" w:hAnsi="Arial"/>
          <w:vertAlign w:val="subscript"/>
        </w:rPr>
        <w:t>nYRNS</w:t>
      </w:r>
      <w:r w:rsidRPr="000B6C0D">
        <w:rPr>
          <w:rFonts w:ascii="Arial" w:hAnsi="Arial"/>
        </w:rPr>
        <w:tab/>
        <w:t>=</w:t>
      </w:r>
      <w:r w:rsidRPr="000B6C0D">
        <w:rPr>
          <w:rFonts w:ascii="Arial" w:hAnsi="Arial"/>
        </w:rPr>
        <w:tab/>
        <w:t>Year Round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81" w:name="_Toc32201078"/>
      <w:bookmarkStart w:id="182" w:name="_Toc49661111"/>
      <w:bookmarkStart w:id="183" w:name="_Toc274049683"/>
      <w:r>
        <w:t>Deriving the Final</w:t>
      </w:r>
      <w:r w:rsidRPr="00E75EE9">
        <w:rPr>
          <w:color w:val="auto"/>
        </w:rPr>
        <w:t xml:space="preserve"> </w:t>
      </w:r>
      <w:r w:rsidRPr="00E75EE9">
        <w:t>Local £/kW Tariff and the Wider</w:t>
      </w:r>
      <w:r>
        <w:t xml:space="preserve"> £/kW Tariff</w:t>
      </w:r>
      <w:bookmarkEnd w:id="181"/>
      <w:bookmarkEnd w:id="182"/>
      <w:bookmarkEnd w:id="183"/>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(ZMkm</w:t>
      </w:r>
      <w:r w:rsidRPr="00E75EE9">
        <w:rPr>
          <w:szCs w:val="22"/>
          <w:vertAlign w:val="subscript"/>
        </w:rPr>
        <w:t>Gi</w:t>
      </w:r>
      <w:r w:rsidRPr="00E75EE9">
        <w:t xml:space="preserve">) </w:t>
      </w:r>
      <w:r>
        <w:t xml:space="preserve">are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(NLMkm</w:t>
      </w:r>
      <w:r w:rsidRPr="00E75EE9">
        <w:rPr>
          <w:vertAlign w:val="superscript"/>
        </w:rPr>
        <w:t>L</w:t>
      </w:r>
      <w:r w:rsidRPr="00E75EE9">
        <w:t>)</w:t>
      </w:r>
      <w:r>
        <w:t xml:space="preserve"> are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84" w:name="_Toc49661112"/>
    </w:p>
    <w:p w14:paraId="00EBE464" w14:textId="77777777" w:rsidR="006661FE" w:rsidRPr="00543982" w:rsidRDefault="006661FE" w:rsidP="006661FE">
      <w:pPr>
        <w:pStyle w:val="Heading3"/>
        <w:ind w:firstLine="709"/>
        <w:jc w:val="both"/>
        <w:rPr>
          <w:rFonts w:ascii="Arial (W1)" w:hAnsi="Arial (W1)"/>
        </w:rPr>
      </w:pPr>
      <w:bookmarkStart w:id="185" w:name="_Toc274049684"/>
      <w:r w:rsidRPr="00543982">
        <w:rPr>
          <w:rFonts w:ascii="Arial" w:hAnsi="Arial" w:cs="Arial"/>
          <w:b/>
        </w:rPr>
        <w:t>The Expansion Constant</w:t>
      </w:r>
      <w:bookmarkEnd w:id="184"/>
      <w:bookmarkEnd w:id="185"/>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£/MWkm</w:t>
      </w:r>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annuitised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and also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9B1D025" w:rsidR="006661FE" w:rsidRPr="0099632B" w:rsidRDefault="5083A541" w:rsidP="325E90A3">
      <w:pPr>
        <w:pStyle w:val="1"/>
        <w:numPr>
          <w:ilvl w:val="0"/>
          <w:numId w:val="70"/>
        </w:numPr>
        <w:jc w:val="both"/>
        <w:rPr>
          <w:rFonts w:cs="Arial"/>
        </w:rPr>
      </w:pPr>
      <w:r w:rsidRPr="03871E98">
        <w:rPr>
          <w:rFonts w:cs="Arial"/>
        </w:rPr>
        <w:t xml:space="preserve">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a number of indices (e.g. global price of steel, labour, inflation, etc.). The objective of these adjustments is to make the costs reflect current prices, making the tariffs as forward looking as possible.  This cost data represents </w:t>
      </w:r>
      <w:r w:rsidR="4C0F0931" w:rsidRPr="03871E98">
        <w:rPr>
          <w:rFonts w:cs="Arial"/>
          <w:b/>
          <w:bCs/>
        </w:rPr>
        <w:t>The Company</w:t>
      </w:r>
      <w:r w:rsidRPr="03871E98">
        <w:rPr>
          <w:rFonts w:cs="Arial"/>
          <w:b/>
          <w:bCs/>
        </w:rPr>
        <w:t>’s</w:t>
      </w:r>
      <w:r w:rsidRPr="03871E98">
        <w:rPr>
          <w:rFonts w:cs="Arial"/>
        </w:rPr>
        <w:t xml:space="preserve"> best view; however it is considered as commercially sensitive and is therefore treated as confidential. The calculation of the expansion constant also relies on a significant amount of transmission asset information, much of which is provided in the </w:t>
      </w:r>
      <w:r w:rsidR="04B85E7F">
        <w:t xml:space="preserve"> </w:t>
      </w:r>
      <w:r w:rsidR="04B85E7F" w:rsidRPr="009919C1">
        <w:rPr>
          <w:b/>
          <w:bCs/>
        </w:rPr>
        <w:t>Electricity Ten Year Statement (ETYS)</w:t>
      </w:r>
      <w:r w:rsidRPr="002149F1">
        <w:rPr>
          <w:rFonts w:cs="Arial"/>
        </w:rPr>
        <w: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 xml:space="preserve">an individual calculation is carried out to establish a £/MWkm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In order to simplify the calculation a unity power factor is assumed, converting £/</w:t>
      </w:r>
      <w:r w:rsidRPr="00BF295A">
        <w:rPr>
          <w:rFonts w:cs="Arial"/>
          <w:szCs w:val="22"/>
        </w:rPr>
        <w:t>MVAkm to £/MWkm.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expansion constant.  A range of overhead line types is used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calculation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£/MWkm</w:t>
            </w:r>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w:t>
            </w:r>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£/MWkm (J in the example above) is then converted in to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annuitised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400kV OHL expansion constant calculation</w:t>
            </w:r>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£/MWkm</w:t>
            </w:r>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Annuitised</w:t>
            </w:r>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358B1DE4" w:rsidR="006661FE" w:rsidRDefault="5083A541" w:rsidP="325E90A3">
      <w:pPr>
        <w:pStyle w:val="1"/>
        <w:numPr>
          <w:ilvl w:val="0"/>
          <w:numId w:val="70"/>
        </w:numPr>
        <w:jc w:val="both"/>
        <w:rPr>
          <w:rFonts w:cs="Arial"/>
        </w:rPr>
      </w:pPr>
      <w:r w:rsidRPr="03871E98">
        <w:rPr>
          <w:rFonts w:cs="Arial"/>
        </w:rPr>
        <w:t xml:space="preserve">This process of calculating the incremental cost of capacity for a 400kV OHL, along with calculating the onshore expansion factors is carried out for the first year of the price control and is increased by inflation, </w:t>
      </w:r>
      <w:r w:rsidR="12F480CB" w:rsidRPr="03871E98">
        <w:rPr>
          <w:rFonts w:cs="Arial"/>
        </w:rPr>
        <w:t>TOPI</w:t>
      </w:r>
      <w:r w:rsidRPr="03871E98">
        <w:rPr>
          <w:rFonts w:cs="Arial"/>
        </w:rPr>
        <w:t xml:space="preserve">, (May–October average increase, as defined in </w:t>
      </w:r>
      <w:r w:rsidR="345DCCCA" w:rsidRPr="03871E98">
        <w:rPr>
          <w:rFonts w:cs="Arial"/>
        </w:rPr>
        <w:t>the</w:t>
      </w:r>
      <w:r w:rsidR="347B4A57" w:rsidRPr="03871E98">
        <w:rPr>
          <w:rFonts w:cs="Arial"/>
        </w:rPr>
        <w:t xml:space="preserve"> </w:t>
      </w:r>
      <w:r w:rsidR="15253DD8" w:rsidRPr="009919C1">
        <w:rPr>
          <w:rFonts w:cs="Arial"/>
          <w:b/>
          <w:bCs/>
        </w:rPr>
        <w:t xml:space="preserve">ESO Licence </w:t>
      </w:r>
      <w:r w:rsidR="15253DD8" w:rsidRPr="0065678A">
        <w:rPr>
          <w:rFonts w:cs="Arial"/>
        </w:rPr>
        <w:t xml:space="preserve">and/or Transmission </w:t>
      </w:r>
      <w:r w:rsidRPr="009919C1">
        <w:rPr>
          <w:rFonts w:cs="Arial"/>
          <w:b/>
          <w:bCs/>
        </w:rPr>
        <w:t>Licence</w:t>
      </w:r>
      <w:r w:rsidRPr="03871E98">
        <w:rPr>
          <w:rFonts w:cs="Arial"/>
        </w:rPr>
        <w:t xml:space="preserve">) each subsequent year of the price control period.  The </w:t>
      </w:r>
      <w:r w:rsidR="347B4A57" w:rsidRPr="03871E98">
        <w:rPr>
          <w:rFonts w:cs="Arial"/>
        </w:rPr>
        <w:t>currently applicable expansion</w:t>
      </w:r>
      <w:r w:rsidRPr="03871E98">
        <w:rPr>
          <w:rFonts w:cs="Arial"/>
        </w:rPr>
        <w:t xml:space="preserve"> constant </w:t>
      </w:r>
      <w:r w:rsidR="347B4A57" w:rsidRPr="03871E98">
        <w:rPr>
          <w:rFonts w:cs="Arial"/>
        </w:rPr>
        <w:t xml:space="preserve">is detailed in </w:t>
      </w:r>
      <w:r w:rsidR="4C0F0931" w:rsidRPr="03871E98">
        <w:rPr>
          <w:rFonts w:cs="Arial"/>
          <w:b/>
          <w:bCs/>
        </w:rPr>
        <w:t>The Company</w:t>
      </w:r>
      <w:r w:rsidR="347B4A57" w:rsidRPr="03871E98">
        <w:rPr>
          <w:rFonts w:cs="Arial"/>
          <w:b/>
          <w:bCs/>
        </w:rPr>
        <w:t>'s Statement of Use of System Charges</w:t>
      </w:r>
      <w:r w:rsidR="347B4A57" w:rsidRPr="03871E98">
        <w:rPr>
          <w:rFonts w:cs="Arial"/>
        </w:rPr>
        <w:t xml:space="preserve"> which is available from the </w:t>
      </w:r>
      <w:r w:rsidR="347B4A57" w:rsidRPr="03871E98">
        <w:rPr>
          <w:rFonts w:cs="Arial"/>
          <w:b/>
          <w:bCs/>
        </w:rPr>
        <w:t>Charging website</w:t>
      </w:r>
      <w:r w:rsidRPr="03871E98">
        <w:rPr>
          <w:rFonts w:cs="Arial"/>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93CD568" w:rsidR="006810D2" w:rsidRPr="0099632B" w:rsidRDefault="36F0E68A" w:rsidP="325E90A3">
      <w:pPr>
        <w:pStyle w:val="1"/>
        <w:ind w:left="720"/>
        <w:jc w:val="both"/>
        <w:rPr>
          <w:rFonts w:cs="Arial"/>
        </w:rPr>
      </w:pPr>
      <w:r w:rsidRPr="03871E98">
        <w:rPr>
          <w:rFonts w:cs="Arial"/>
        </w:rPr>
        <w:t>14.15.69</w:t>
      </w:r>
      <w:r w:rsidR="37F3A945" w:rsidRPr="03871E98">
        <w:rPr>
          <w:rFonts w:cs="Arial"/>
        </w:rPr>
        <w:t xml:space="preserve">A Notwithstanding Paragraph 14.15.69 from the first year of (and during) the T2 price control (which starts on 1st April 2021), until a further change is made, the Expansion Constant will be that used in the 2020/21 </w:t>
      </w:r>
      <w:r w:rsidR="1A0A6E3F" w:rsidRPr="03871E98">
        <w:rPr>
          <w:rFonts w:cs="Arial"/>
          <w:b/>
          <w:bCs/>
        </w:rPr>
        <w:t>Financial Year</w:t>
      </w:r>
      <w:r w:rsidR="37F3A945" w:rsidRPr="03871E98">
        <w:rPr>
          <w:rFonts w:cs="Arial"/>
        </w:rPr>
        <w:t xml:space="preserve"> inflated in accordance with </w:t>
      </w:r>
      <w:r w:rsidR="12F480CB" w:rsidRPr="03871E98">
        <w:rPr>
          <w:rFonts w:cs="Arial"/>
        </w:rPr>
        <w:t>TOPI</w:t>
      </w:r>
      <w:r w:rsidR="37F3A945" w:rsidRPr="03871E98">
        <w:rPr>
          <w:rFonts w:cs="Arial"/>
        </w:rPr>
        <w:t xml:space="preserve"> as per paragraph 14.15.69; and plus inflation as defined in the </w:t>
      </w:r>
      <w:r w:rsidR="29648215" w:rsidRPr="009919C1">
        <w:rPr>
          <w:rFonts w:cs="Arial"/>
          <w:b/>
          <w:bCs/>
        </w:rPr>
        <w:t xml:space="preserve">ESO License </w:t>
      </w:r>
      <w:r w:rsidR="29648215" w:rsidRPr="0065678A">
        <w:rPr>
          <w:rFonts w:cs="Arial"/>
        </w:rPr>
        <w:t xml:space="preserve">and/or </w:t>
      </w:r>
      <w:r w:rsidR="37F3A945" w:rsidRPr="0065678A">
        <w:rPr>
          <w:rFonts w:cs="Arial"/>
        </w:rPr>
        <w:t>Transmission Licence</w:t>
      </w:r>
      <w:r w:rsidR="37F3A945" w:rsidRPr="03871E98">
        <w:rPr>
          <w:rFonts w:cs="Arial"/>
        </w:rPr>
        <w:t xml:space="preserv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AC sub-sea cable and HVDC circuit expansion factors are calculated on a case by case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taking into account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86" w:name="_Toc274049685"/>
      <w:bookmarkStart w:id="187"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86"/>
    </w:p>
    <w:p w14:paraId="4FD23F74" w14:textId="77777777" w:rsidR="006661FE" w:rsidRDefault="006661FE" w:rsidP="007D27B2">
      <w:pPr>
        <w:pStyle w:val="1"/>
        <w:numPr>
          <w:ilvl w:val="0"/>
          <w:numId w:val="70"/>
        </w:numPr>
        <w:jc w:val="both"/>
      </w:pPr>
      <w:r>
        <w:t>Offshore expansion factors (£/MWkm)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r>
        <w:rPr>
          <w:rFonts w:cs="Arial"/>
          <w:szCs w:val="22"/>
        </w:rPr>
        <w:t xml:space="preserve">CircRat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r>
        <w:rPr>
          <w:rFonts w:cs="Arial"/>
          <w:szCs w:val="22"/>
        </w:rPr>
        <w:t>AvCRevOFTO</w:t>
      </w:r>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r>
        <w:rPr>
          <w:rFonts w:cs="Arial"/>
          <w:szCs w:val="22"/>
        </w:rPr>
        <w:t xml:space="preserve">CircRat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r w:rsidRPr="002052BD">
        <w:rPr>
          <w:rFonts w:ascii="Times New Roman" w:hAnsi="Times New Roman"/>
          <w:i/>
        </w:rPr>
        <w:t>AvCRevOFTO</w:t>
      </w:r>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factors will be adjusted by the annual Offshore Transmission Owner specific indexation factor, </w:t>
      </w:r>
      <w:r w:rsidR="004F04BE" w:rsidRPr="002052BD">
        <w:rPr>
          <w:i/>
        </w:rPr>
        <w:t>OFTOInd</w:t>
      </w:r>
      <w:r w:rsidR="004F04BE" w:rsidRPr="002052BD">
        <w:t xml:space="preserve">, calculated as follows;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r>
        <w:rPr>
          <w:rFonts w:ascii="Arial" w:hAnsi="Arial" w:cs="Arial"/>
          <w:i/>
          <w:sz w:val="22"/>
          <w:szCs w:val="22"/>
          <w:lang w:eastAsia="en-US"/>
        </w:rPr>
        <w:t>TOPI</w:t>
      </w:r>
      <w:r w:rsidRPr="002052BD">
        <w:rPr>
          <w:rFonts w:ascii="Arial" w:hAnsi="Arial" w:cs="Arial"/>
          <w:i/>
          <w:sz w:val="22"/>
          <w:szCs w:val="22"/>
          <w:vertAlign w:val="subscript"/>
          <w:lang w:eastAsia="en-US"/>
        </w:rPr>
        <w:t>t</w:t>
      </w:r>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Cap</w:t>
      </w:r>
      <w:r w:rsidRPr="004D2270">
        <w:rPr>
          <w:rFonts w:ascii="Arial (W1)" w:hAnsi="Arial (W1)"/>
          <w:sz w:val="22"/>
          <w:szCs w:val="22"/>
          <w:vertAlign w:val="subscript"/>
        </w:rPr>
        <w:t>IAB</w:t>
      </w:r>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RCap</w:t>
      </w:r>
      <w:r w:rsidRPr="004D2270">
        <w:rPr>
          <w:rFonts w:ascii="Arial (W1)" w:hAnsi="Arial (W1)"/>
          <w:sz w:val="22"/>
          <w:szCs w:val="22"/>
          <w:vertAlign w:val="subscript"/>
        </w:rPr>
        <w:t>A</w:t>
      </w:r>
      <w:r w:rsidRPr="004D2270">
        <w:rPr>
          <w:rFonts w:ascii="Arial (W1)" w:hAnsi="Arial (W1)"/>
          <w:sz w:val="22"/>
          <w:szCs w:val="22"/>
        </w:rPr>
        <w:t>, Cap</w:t>
      </w:r>
      <w:r w:rsidRPr="004D2270">
        <w:rPr>
          <w:rFonts w:ascii="Arial (W1)" w:hAnsi="Arial (W1)"/>
          <w:sz w:val="22"/>
          <w:szCs w:val="22"/>
          <w:vertAlign w:val="subscript"/>
        </w:rPr>
        <w:t xml:space="preserve">B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(Cap</w:t>
      </w:r>
      <w:r w:rsidRPr="004D2270">
        <w:rPr>
          <w:rFonts w:ascii="Arial (W1)" w:hAnsi="Arial (W1)"/>
          <w:sz w:val="22"/>
          <w:szCs w:val="22"/>
          <w:vertAlign w:val="subscript"/>
        </w:rPr>
        <w:t>IBC</w:t>
      </w:r>
      <w:r w:rsidRPr="004D2270">
        <w:rPr>
          <w:rFonts w:ascii="Arial (W1)" w:hAnsi="Arial (W1)"/>
          <w:sz w:val="22"/>
          <w:szCs w:val="22"/>
        </w:rPr>
        <w:t>, Cap</w:t>
      </w:r>
      <w:r w:rsidRPr="004D2270">
        <w:rPr>
          <w:rFonts w:ascii="Arial (W1)" w:hAnsi="Arial (W1)"/>
          <w:sz w:val="22"/>
          <w:szCs w:val="22"/>
          <w:vertAlign w:val="subscript"/>
        </w:rPr>
        <w:t>C</w:t>
      </w:r>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RCap</w:t>
      </w:r>
      <w:r w:rsidRPr="004D2270">
        <w:rPr>
          <w:rFonts w:ascii="Arial (W1)" w:hAnsi="Arial (W1)"/>
          <w:sz w:val="22"/>
          <w:szCs w:val="22"/>
          <w:vertAlign w:val="subscript"/>
        </w:rPr>
        <w:t>B,</w:t>
      </w:r>
      <w:r w:rsidRPr="004D2270">
        <w:rPr>
          <w:rFonts w:ascii="Arial (W1)" w:hAnsi="Arial (W1)"/>
          <w:sz w:val="22"/>
          <w:szCs w:val="22"/>
        </w:rPr>
        <w:t xml:space="preserve"> min (Cap</w:t>
      </w:r>
      <w:r w:rsidRPr="004D2270">
        <w:rPr>
          <w:rFonts w:ascii="Arial (W1)" w:hAnsi="Arial (W1)"/>
          <w:sz w:val="22"/>
          <w:szCs w:val="22"/>
          <w:vertAlign w:val="subscript"/>
        </w:rPr>
        <w:t>IAB</w:t>
      </w:r>
      <w:r w:rsidRPr="004D2270">
        <w:rPr>
          <w:rFonts w:ascii="Arial (W1)" w:hAnsi="Arial (W1)"/>
          <w:sz w:val="22"/>
          <w:szCs w:val="22"/>
        </w:rPr>
        <w:t>, Cap</w:t>
      </w:r>
      <w:r w:rsidRPr="004D2270">
        <w:rPr>
          <w:rFonts w:ascii="Arial (W1)" w:hAnsi="Arial (W1)"/>
          <w:sz w:val="22"/>
          <w:szCs w:val="22"/>
          <w:vertAlign w:val="subscript"/>
        </w:rPr>
        <w:t>A</w:t>
      </w:r>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D2270" w:rsidRDefault="00926FF8" w:rsidP="215D4A0F">
      <w:pPr>
        <w:pStyle w:val="Default"/>
        <w:ind w:left="1440"/>
        <w:rPr>
          <w:rFonts w:ascii="Arial (W1)" w:hAnsi="Arial (W1)"/>
          <w:sz w:val="22"/>
          <w:szCs w:val="22"/>
        </w:rPr>
      </w:pPr>
      <w:r w:rsidRPr="004D2270">
        <w:rPr>
          <w:rFonts w:ascii="Arial (W1)" w:hAnsi="Arial (W1)"/>
          <w:sz w:val="22"/>
          <w:szCs w:val="22"/>
        </w:rPr>
        <w:tab/>
      </w:r>
      <w:r w:rsidRPr="215D4A0F">
        <w:rPr>
          <w:rFonts w:ascii="Arial (W1)" w:hAnsi="Arial (W1)"/>
          <w:sz w:val="22"/>
          <w:szCs w:val="22"/>
        </w:rPr>
        <w:t>+ min ( Cap</w:t>
      </w:r>
      <w:r w:rsidRPr="215D4A0F">
        <w:rPr>
          <w:rFonts w:ascii="Arial (W1)" w:hAnsi="Arial (W1)"/>
          <w:sz w:val="22"/>
          <w:szCs w:val="22"/>
          <w:vertAlign w:val="subscript"/>
        </w:rPr>
        <w:t>IBC</w:t>
      </w:r>
      <w:r w:rsidRPr="215D4A0F">
        <w:rPr>
          <w:rFonts w:ascii="Arial (W1)" w:hAnsi="Arial (W1)"/>
          <w:sz w:val="22"/>
          <w:szCs w:val="22"/>
        </w:rPr>
        <w:t>, Cap</w:t>
      </w:r>
      <w:r w:rsidRPr="215D4A0F">
        <w:rPr>
          <w:rFonts w:ascii="Arial (W1)" w:hAnsi="Arial (W1)"/>
          <w:sz w:val="22"/>
          <w:szCs w:val="22"/>
          <w:vertAlign w:val="subscript"/>
        </w:rPr>
        <w:t>C</w:t>
      </w:r>
      <w:r w:rsidRPr="215D4A0F">
        <w:rPr>
          <w:rFonts w:ascii="Arial (W1)" w:hAnsi="Arial (W1)"/>
          <w:sz w:val="22"/>
          <w:szCs w:val="22"/>
        </w:rPr>
        <w:t xml:space="preserve"> - ILF</w:t>
      </w:r>
      <w:r w:rsidRPr="215D4A0F">
        <w:rPr>
          <w:rFonts w:ascii="Arial (W1)" w:hAnsi="Arial (W1)"/>
          <w:sz w:val="22"/>
          <w:szCs w:val="22"/>
          <w:vertAlign w:val="subscript"/>
        </w:rPr>
        <w:t>C</w:t>
      </w:r>
      <w:r w:rsidRPr="215D4A0F">
        <w:rPr>
          <w:rFonts w:ascii="Arial (W1)" w:hAnsi="Arial (W1)"/>
          <w:sz w:val="22"/>
          <w:szCs w:val="22"/>
        </w:rPr>
        <w:t xml:space="preserve"> × TEC</w:t>
      </w:r>
      <w:r w:rsidRPr="215D4A0F">
        <w:rPr>
          <w:rFonts w:ascii="Arial (W1)" w:hAnsi="Arial (W1)"/>
          <w:sz w:val="22"/>
          <w:szCs w:val="22"/>
          <w:vertAlign w:val="subscript"/>
        </w:rPr>
        <w:t>C</w:t>
      </w:r>
      <w:r w:rsidRPr="215D4A0F">
        <w:rPr>
          <w:rFonts w:ascii="Arial (W1)" w:hAnsi="Arial (W1)"/>
          <w:sz w:val="22"/>
          <w:szCs w:val="22"/>
        </w:rPr>
        <w:t>) }</w:t>
      </w:r>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IAB</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IBC</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r w:rsidRPr="004D2270">
        <w:rPr>
          <w:rFonts w:ascii="Arial (W1)" w:hAnsi="Arial (W1)"/>
          <w:sz w:val="22"/>
          <w:szCs w:val="22"/>
        </w:rPr>
        <w:t>RCap</w:t>
      </w:r>
      <w:r w:rsidRPr="004D2270">
        <w:rPr>
          <w:rFonts w:ascii="Arial (W1)" w:hAnsi="Arial (W1)"/>
          <w:sz w:val="22"/>
          <w:szCs w:val="22"/>
          <w:vertAlign w:val="subscript"/>
        </w:rPr>
        <w:t xml:space="preserve">X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all of the relevant Users. </w:t>
      </w:r>
    </w:p>
    <w:p w14:paraId="69CA44BE" w14:textId="01B404E1"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w:t>
      </w:r>
      <w:r w:rsidR="00A13011">
        <w:rPr>
          <w:rFonts w:ascii="Arial (W1)" w:hAnsi="Arial (W1)"/>
          <w:sz w:val="22"/>
          <w:szCs w:val="22"/>
        </w:rPr>
        <w:t xml:space="preserve">London </w:t>
      </w:r>
      <w:r w:rsidR="002E5BC1">
        <w:rPr>
          <w:rFonts w:ascii="Arial (W1)" w:hAnsi="Arial (W1)"/>
          <w:sz w:val="22"/>
          <w:szCs w:val="22"/>
        </w:rPr>
        <w:t xml:space="preserve">Court of </w:t>
      </w:r>
      <w:r w:rsidR="005026DC">
        <w:rPr>
          <w:rFonts w:ascii="Arial (W1)" w:hAnsi="Arial (W1)"/>
          <w:sz w:val="22"/>
          <w:szCs w:val="22"/>
        </w:rPr>
        <w:t xml:space="preserve">International </w:t>
      </w:r>
      <w:r w:rsidRPr="00CD2281">
        <w:rPr>
          <w:rFonts w:ascii="Arial (W1)" w:hAnsi="Arial (W1)"/>
          <w:sz w:val="22"/>
          <w:szCs w:val="22"/>
        </w:rPr>
        <w:t xml:space="preserve">Arbitration’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188" w:name="_Toc274049686"/>
      <w:r w:rsidRPr="00543982">
        <w:rPr>
          <w:rFonts w:ascii="Arial" w:hAnsi="Arial" w:cs="Arial"/>
          <w:b/>
        </w:rPr>
        <w:t>The Locational Onshore Security Factor</w:t>
      </w:r>
      <w:bookmarkEnd w:id="187"/>
      <w:bookmarkEnd w:id="188"/>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taking into account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a number of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factor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189" w:name="_Hlt506963614"/>
      <w:bookmarkEnd w:id="189"/>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190"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MITS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190"/>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to a capacity lower than the aggregated TEC of the generation using that circuit, then the local security factor of 1.0 will be multiplied by a Counter Correlation Factor (CCF) as described in the formula below;</w:t>
      </w:r>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Where; D</w:t>
      </w:r>
      <w:r w:rsidRPr="009B0384">
        <w:rPr>
          <w:rFonts w:ascii="Arial (W1)" w:hAnsi="Arial (W1)"/>
          <w:sz w:val="22"/>
          <w:szCs w:val="22"/>
          <w:vertAlign w:val="subscript"/>
        </w:rPr>
        <w:t>min</w:t>
      </w:r>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T</w:t>
      </w:r>
      <w:r w:rsidRPr="009B0384">
        <w:rPr>
          <w:rFonts w:ascii="Arial (W1)" w:hAnsi="Arial (W1)"/>
          <w:sz w:val="22"/>
          <w:szCs w:val="22"/>
          <w:vertAlign w:val="subscript"/>
        </w:rPr>
        <w:t>cap</w:t>
      </w:r>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r w:rsidRPr="009B0384">
        <w:rPr>
          <w:rFonts w:ascii="Arial (W1)" w:hAnsi="Arial (W1)"/>
          <w:sz w:val="22"/>
          <w:szCs w:val="22"/>
        </w:rPr>
        <w:t>G</w:t>
      </w:r>
      <w:r w:rsidRPr="009B0384">
        <w:rPr>
          <w:rFonts w:ascii="Arial (W1)" w:hAnsi="Arial (W1)"/>
          <w:sz w:val="22"/>
          <w:szCs w:val="22"/>
          <w:vertAlign w:val="subscript"/>
        </w:rPr>
        <w:t>cap</w:t>
      </w:r>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(LocalSF)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r>
        <w:rPr>
          <w:rFonts w:cs="Arial"/>
          <w:szCs w:val="22"/>
        </w:rPr>
        <w:t>NetworkExportCapacity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r w:rsidRPr="00277DA2">
        <w:t xml:space="preserve">IRevOFTO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r w:rsidRPr="00277DA2">
        <w:t xml:space="preserve">CRevOFTO = </w:t>
      </w:r>
      <w:r w:rsidR="001F0FA5">
        <w:t xml:space="preserve"> </w:t>
      </w:r>
      <w:r w:rsidRPr="00277DA2">
        <w:t xml:space="preserve">The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r w:rsidRPr="004D2270">
        <w:rPr>
          <w:u w:val="single"/>
        </w:rPr>
        <w:t>LocalSF</w:t>
      </w:r>
      <w:r w:rsidRPr="004D2270">
        <w:rPr>
          <w:u w:val="single"/>
          <w:vertAlign w:val="subscript"/>
        </w:rPr>
        <w:t>initial</w:t>
      </w:r>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191" w:name="_Toc49661114"/>
      <w:bookmarkStart w:id="192" w:name="_Toc274049687"/>
      <w:r w:rsidRPr="00887323">
        <w:rPr>
          <w:rFonts w:ascii="Arial" w:hAnsi="Arial" w:cs="Arial"/>
          <w:b/>
        </w:rPr>
        <w:t>Initial Transport Tariff</w:t>
      </w:r>
      <w:bookmarkEnd w:id="191"/>
      <w:bookmarkEnd w:id="192"/>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for both Peak Security and Year Round backgrounds.</w:t>
      </w:r>
      <w:r w:rsidR="006661FE">
        <w:t xml:space="preserve"> For Generation</w:t>
      </w:r>
      <w:r w:rsidR="0033649F">
        <w:t>,</w:t>
      </w:r>
      <w:r w:rsidR="006661FE">
        <w:t xml:space="preserve"> the </w:t>
      </w:r>
      <w:r w:rsidR="0093242F">
        <w:t xml:space="preserve">Peak Security </w:t>
      </w:r>
      <w:r w:rsidR="006661FE">
        <w:t>zonal marginal km (ZMkm</w:t>
      </w:r>
      <w:r w:rsidR="0093242F" w:rsidRPr="00AC562E">
        <w:rPr>
          <w:vertAlign w:val="subscript"/>
        </w:rPr>
        <w:t>PS</w:t>
      </w:r>
      <w:r w:rsidR="006661FE">
        <w:t>)</w:t>
      </w:r>
      <w:r w:rsidR="0093242F">
        <w:t>, Year Round Not-Shared zonal marginal km (ZMkm</w:t>
      </w:r>
      <w:r w:rsidR="0093242F">
        <w:rPr>
          <w:vertAlign w:val="subscript"/>
        </w:rPr>
        <w:t>YRNS</w:t>
      </w:r>
      <w:r w:rsidR="0093242F">
        <w:t>) and Year Round Shared zonal marginal km (ZMkm</w:t>
      </w:r>
      <w:r w:rsidR="0093242F" w:rsidRPr="00AC562E">
        <w:rPr>
          <w:vertAlign w:val="subscript"/>
        </w:rPr>
        <w:t>YR</w:t>
      </w:r>
      <w:r w:rsidR="0093242F">
        <w:rPr>
          <w:vertAlign w:val="subscript"/>
        </w:rPr>
        <w:t>S</w:t>
      </w:r>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r>
        <w:rPr>
          <w:rFonts w:ascii="Arial" w:hAnsi="Arial"/>
          <w:sz w:val="22"/>
        </w:rPr>
        <w:t>Where</w:t>
      </w:r>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t>ZMkm</w:t>
      </w:r>
      <w:r>
        <w:rPr>
          <w:rFonts w:ascii="Arial" w:hAnsi="Arial"/>
          <w:sz w:val="22"/>
          <w:vertAlign w:val="subscript"/>
        </w:rPr>
        <w:t>Gi</w:t>
      </w:r>
      <w:r w:rsidR="009B58DA" w:rsidRPr="00AC562E">
        <w:rPr>
          <w:rFonts w:ascii="Arial" w:hAnsi="Arial"/>
          <w:sz w:val="22"/>
          <w:vertAlign w:val="subscript"/>
        </w:rPr>
        <w:t>PS</w:t>
      </w:r>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r w:rsidR="009B58DA" w:rsidRPr="000B6C0D">
        <w:rPr>
          <w:rFonts w:ascii="Arial" w:hAnsi="Arial"/>
          <w:sz w:val="22"/>
        </w:rPr>
        <w:t>ZMkm</w:t>
      </w:r>
      <w:r w:rsidR="009B58DA" w:rsidRPr="000B6C0D">
        <w:rPr>
          <w:rFonts w:ascii="Arial" w:hAnsi="Arial"/>
          <w:sz w:val="22"/>
          <w:vertAlign w:val="subscript"/>
        </w:rPr>
        <w:t>GiYRNS</w:t>
      </w:r>
      <w:r w:rsidR="009B58DA" w:rsidRPr="000B6C0D">
        <w:rPr>
          <w:rFonts w:ascii="Arial" w:hAnsi="Arial"/>
          <w:sz w:val="22"/>
        </w:rPr>
        <w:tab/>
        <w:t>=</w:t>
      </w:r>
      <w:r w:rsidR="009B58DA" w:rsidRPr="000B6C0D">
        <w:rPr>
          <w:rFonts w:ascii="Arial" w:hAnsi="Arial"/>
          <w:sz w:val="22"/>
        </w:rPr>
        <w:tab/>
        <w:t xml:space="preserve">Year Round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r w:rsidRPr="000B6C0D">
        <w:rPr>
          <w:rFonts w:ascii="Arial" w:hAnsi="Arial"/>
          <w:sz w:val="22"/>
        </w:rPr>
        <w:t>ZMkm</w:t>
      </w:r>
      <w:r w:rsidRPr="000B6C0D">
        <w:rPr>
          <w:rFonts w:ascii="Arial" w:hAnsi="Arial"/>
          <w:sz w:val="22"/>
          <w:vertAlign w:val="subscript"/>
        </w:rPr>
        <w:t>GiYRS</w:t>
      </w:r>
      <w:r w:rsidRPr="000B6C0D">
        <w:rPr>
          <w:rFonts w:ascii="Arial" w:hAnsi="Arial"/>
          <w:sz w:val="22"/>
        </w:rPr>
        <w:tab/>
        <w:t>=</w:t>
      </w:r>
      <w:r w:rsidRPr="000B6C0D">
        <w:rPr>
          <w:rFonts w:ascii="Arial" w:hAnsi="Arial"/>
          <w:sz w:val="22"/>
        </w:rPr>
        <w:tab/>
        <w:t>Year Round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r w:rsidR="00075548" w:rsidRPr="00075548">
        <w:t xml:space="preserve"> </w:t>
      </w:r>
      <w:r w:rsidR="00075548">
        <w:t>ZMkm</w:t>
      </w:r>
      <w:r w:rsidR="00075548" w:rsidRPr="00AC562E">
        <w:rPr>
          <w:vertAlign w:val="subscript"/>
        </w:rPr>
        <w:t>PS</w:t>
      </w:r>
      <w:r w:rsidR="00075548">
        <w:t>) and Year Round zonal marginal km (ZMkm</w:t>
      </w:r>
      <w:r w:rsidR="00075548" w:rsidRPr="00AC562E">
        <w:rPr>
          <w:vertAlign w:val="subscript"/>
        </w:rPr>
        <w:t>YR</w:t>
      </w:r>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r>
        <w:rPr>
          <w:rFonts w:ascii="Arial" w:hAnsi="Arial"/>
          <w:sz w:val="22"/>
        </w:rPr>
        <w:t>Where</w:t>
      </w:r>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ZMkm</w:t>
      </w:r>
      <w:r>
        <w:rPr>
          <w:rFonts w:ascii="Arial" w:hAnsi="Arial"/>
          <w:sz w:val="22"/>
          <w:vertAlign w:val="subscript"/>
        </w:rPr>
        <w:t>Di</w:t>
      </w:r>
      <w:r w:rsidR="00075548" w:rsidRPr="00AC562E">
        <w:rPr>
          <w:rFonts w:ascii="Arial" w:hAnsi="Arial"/>
          <w:sz w:val="22"/>
          <w:vertAlign w:val="subscript"/>
        </w:rPr>
        <w:t>PS</w:t>
      </w:r>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t>=</w:t>
      </w:r>
      <w:r w:rsidR="00075548">
        <w:rPr>
          <w:rFonts w:ascii="Arial" w:hAnsi="Arial"/>
          <w:sz w:val="22"/>
        </w:rPr>
        <w:tab/>
        <w:t>Year Round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r>
        <w:rPr>
          <w:rFonts w:ascii="Arial" w:hAnsi="Arial"/>
          <w:sz w:val="22"/>
        </w:rPr>
        <w:t>ITT</w:t>
      </w:r>
      <w:r>
        <w:rPr>
          <w:rFonts w:ascii="Arial" w:hAnsi="Arial"/>
          <w:sz w:val="22"/>
          <w:vertAlign w:val="subscript"/>
        </w:rPr>
        <w:t>Di</w:t>
      </w:r>
      <w:r w:rsidRPr="00AC562E">
        <w:rPr>
          <w:rFonts w:ascii="Arial" w:hAnsi="Arial"/>
          <w:sz w:val="22"/>
          <w:vertAlign w:val="subscript"/>
        </w:rPr>
        <w:t>PS</w:t>
      </w:r>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r>
      <w:r w:rsidR="00075548">
        <w:rPr>
          <w:rFonts w:ascii="Arial" w:hAnsi="Arial"/>
          <w:sz w:val="22"/>
        </w:rPr>
        <w:tab/>
        <w:t>=</w:t>
      </w:r>
      <w:r w:rsidR="00075548">
        <w:rPr>
          <w:rFonts w:ascii="Arial" w:hAnsi="Arial"/>
          <w:sz w:val="22"/>
        </w:rPr>
        <w:tab/>
        <w:t xml:space="preserve">Year Round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Year Round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r w:rsidR="00BF4F42" w:rsidRPr="00BF4F42">
        <w:rPr>
          <w:rFonts w:ascii="Arial" w:hAnsi="Arial"/>
        </w:rPr>
        <w:t>Where</w:t>
      </w:r>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G</w:t>
      </w:r>
      <w:r w:rsidR="00BF4F42" w:rsidRPr="00BF4F42">
        <w:rPr>
          <w:rFonts w:ascii="Arial" w:hAnsi="Arial"/>
          <w:vertAlign w:val="subscript"/>
        </w:rPr>
        <w:t>Gi</w:t>
      </w:r>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D</w:t>
      </w:r>
      <w:r w:rsidR="00BF4F42" w:rsidRPr="00BF4F42">
        <w:rPr>
          <w:rFonts w:ascii="Arial" w:hAnsi="Arial"/>
          <w:vertAlign w:val="subscript"/>
        </w:rPr>
        <w:t>Di</w:t>
      </w:r>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Year Round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Year Round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14FFEDA1" w:rsidR="00636937" w:rsidRDefault="36D89927" w:rsidP="007D27B2">
      <w:pPr>
        <w:pStyle w:val="1"/>
        <w:numPr>
          <w:ilvl w:val="0"/>
          <w:numId w:val="90"/>
        </w:numPr>
        <w:jc w:val="both"/>
      </w:pPr>
      <w:r>
        <w:t xml:space="preserve">   </w:t>
      </w:r>
      <w:r w:rsidR="062A8FEA">
        <w:t xml:space="preserve">The revenue from a specific generator due to the Peak Security locational </w:t>
      </w:r>
      <w:r w:rsidR="7103FEA0">
        <w:t xml:space="preserve">      </w:t>
      </w:r>
      <w:r w:rsidR="062A8FEA">
        <w:t xml:space="preserve">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w:t>
      </w:r>
      <w:r w:rsidR="49DFC7FB" w:rsidRPr="009919C1">
        <w:rPr>
          <w:b/>
          <w:bCs/>
        </w:rPr>
        <w:t>The Company</w:t>
      </w:r>
      <w:r w:rsidR="062A8FEA" w:rsidRPr="009919C1">
        <w:rPr>
          <w:b/>
          <w:bCs/>
        </w:rPr>
        <w:t xml:space="preserve"> </w:t>
      </w:r>
      <w:r w:rsidR="062A8FEA">
        <w:t>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Year Round Not Shared (YRNS) flag. The YRNS flag indicates the extent to which a generation plant type contributes to the need for transmission network investment at year round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r>
              <w:rPr>
                <w:szCs w:val="22"/>
              </w:rPr>
              <w:t>Non Conventional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0563DA70" w:rsidR="00636937" w:rsidRPr="007B476E" w:rsidRDefault="00636937" w:rsidP="00636937">
      <w:pPr>
        <w:pStyle w:val="1"/>
        <w:ind w:left="1440"/>
      </w:pPr>
      <w:r>
        <w:t>GMWh</w:t>
      </w:r>
      <w:r w:rsidRPr="00E215A3">
        <w:rPr>
          <w:vertAlign w:val="subscript"/>
        </w:rPr>
        <w:t>p</w:t>
      </w:r>
      <w:r>
        <w:t xml:space="preserve"> is the maximum of FPN or actual metered output in a Settlement Period related to the </w:t>
      </w:r>
      <w:ins w:id="193" w:author="Martin Cahill [NESO]" w:date="2025-05-20T13:33:00Z" w16du:dateUtc="2025-05-20T12:33:00Z">
        <w:r w:rsidR="00296C2F" w:rsidRPr="003309BF">
          <w:rPr>
            <w:b/>
            <w:bCs/>
          </w:rPr>
          <w:t>P</w:t>
        </w:r>
      </w:ins>
      <w:del w:id="194" w:author="Martin Cahill [NESO]" w:date="2025-05-20T13:33:00Z" w16du:dateUtc="2025-05-20T12:33:00Z">
        <w:r w:rsidRPr="003309BF" w:rsidDel="00296C2F">
          <w:rPr>
            <w:b/>
            <w:bCs/>
          </w:rPr>
          <w:delText>p</w:delText>
        </w:r>
      </w:del>
      <w:r w:rsidRPr="003309BF">
        <w:rPr>
          <w:b/>
          <w:bCs/>
        </w:rPr>
        <w:t xml:space="preserve">ower </w:t>
      </w:r>
      <w:ins w:id="195" w:author="Martin Cahill [NESO]" w:date="2025-05-20T13:33:00Z" w16du:dateUtc="2025-05-20T12:33:00Z">
        <w:r w:rsidR="00296C2F" w:rsidRPr="003309BF">
          <w:rPr>
            <w:b/>
            <w:bCs/>
          </w:rPr>
          <w:t>S</w:t>
        </w:r>
      </w:ins>
      <w:del w:id="196" w:author="Martin Cahill [NESO]" w:date="2025-05-20T13:33:00Z" w16du:dateUtc="2025-05-20T12:33:00Z">
        <w:r w:rsidRPr="003309BF" w:rsidDel="00296C2F">
          <w:rPr>
            <w:b/>
            <w:bCs/>
          </w:rPr>
          <w:delText>s</w:delText>
        </w:r>
      </w:del>
      <w:r w:rsidRPr="003309BF">
        <w:rPr>
          <w:b/>
          <w:bCs/>
        </w:rPr>
        <w:t>tation</w:t>
      </w:r>
      <w:r w:rsidRPr="007B476E">
        <w:t xml:space="preserve"> TEC (MW); and </w:t>
      </w:r>
    </w:p>
    <w:p w14:paraId="5CAC9227" w14:textId="77777777" w:rsidR="00636937" w:rsidRPr="007B476E" w:rsidRDefault="00636937" w:rsidP="00636937">
      <w:pPr>
        <w:pStyle w:val="1"/>
        <w:ind w:left="1440"/>
        <w:rPr>
          <w:ins w:id="197" w:author="Martin Cahill [NESO]" w:date="2025-05-20T13:34:00Z" w16du:dateUtc="2025-05-20T12:34:00Z"/>
        </w:rPr>
      </w:pPr>
      <w:r w:rsidRPr="007B476E">
        <w:t>TEC</w:t>
      </w:r>
      <w:r w:rsidRPr="007B476E">
        <w:rPr>
          <w:vertAlign w:val="subscript"/>
        </w:rPr>
        <w:t xml:space="preserve">p </w:t>
      </w:r>
      <w:r w:rsidRPr="007B476E">
        <w:t>is the TEC (MW) applicable to that Power Station for that Settlement Period including any STTEC and LDTEC, accounting for any trading of TEC.</w:t>
      </w:r>
    </w:p>
    <w:p w14:paraId="5C94641F" w14:textId="77777777" w:rsidR="00E007C4" w:rsidRPr="007B476E" w:rsidRDefault="00E007C4" w:rsidP="00636937">
      <w:pPr>
        <w:pStyle w:val="1"/>
        <w:ind w:left="1440"/>
        <w:rPr>
          <w:ins w:id="198" w:author="Martin Cahill [NESO]" w:date="2025-05-20T13:34:00Z" w16du:dateUtc="2025-05-20T12:34:00Z"/>
        </w:rPr>
      </w:pPr>
    </w:p>
    <w:p w14:paraId="54546F1B" w14:textId="5AA6BD95" w:rsidR="00E007C4" w:rsidRDefault="00E007C4" w:rsidP="00E007C4">
      <w:pPr>
        <w:pStyle w:val="1"/>
        <w:ind w:left="1440"/>
        <w:rPr>
          <w:ins w:id="199" w:author="Martin Cahill [NESO]" w:date="2025-05-20T13:34:00Z" w16du:dateUtc="2025-05-20T12:34:00Z"/>
        </w:rPr>
      </w:pPr>
      <w:ins w:id="200" w:author="Martin Cahill [NESO]" w:date="2025-05-20T13:34:00Z" w16du:dateUtc="2025-05-20T12:34:00Z">
        <w:r w:rsidRPr="007B476E">
          <w:t xml:space="preserve">A single technology </w:t>
        </w:r>
        <w:r w:rsidRPr="007B476E">
          <w:rPr>
            <w:b/>
            <w:bCs/>
          </w:rPr>
          <w:t>Power Station</w:t>
        </w:r>
        <w:r w:rsidRPr="007B476E">
          <w:t xml:space="preserve"> will use the formula above to calculate the </w:t>
        </w:r>
        <w:r w:rsidRPr="007B476E">
          <w:rPr>
            <w:b/>
            <w:bCs/>
          </w:rPr>
          <w:t>Power Station</w:t>
        </w:r>
        <w:r w:rsidRPr="007B476E">
          <w:t xml:space="preserve"> ALF. For a multi technology </w:t>
        </w:r>
        <w:r w:rsidRPr="007B476E">
          <w:rPr>
            <w:b/>
            <w:bCs/>
          </w:rPr>
          <w:t>Power Station</w:t>
        </w:r>
        <w:r w:rsidRPr="007B476E">
          <w:t xml:space="preserve"> (as 14.15.7), where appropriate metering arrangements are in place, an ALF will be calculated for each </w:t>
        </w:r>
        <w:r w:rsidRPr="007B476E">
          <w:rPr>
            <w:b/>
            <w:bCs/>
          </w:rPr>
          <w:t>BM Unit</w:t>
        </w:r>
        <w:r w:rsidRPr="007B476E">
          <w:t xml:space="preserve">. Note that the sum of GMWh for a multi technology </w:t>
        </w:r>
        <w:r w:rsidRPr="007B476E">
          <w:rPr>
            <w:b/>
            <w:bCs/>
          </w:rPr>
          <w:t>Power Station</w:t>
        </w:r>
        <w:r w:rsidRPr="007B476E">
          <w:t xml:space="preserve"> across each </w:t>
        </w:r>
        <w:r w:rsidRPr="007B476E">
          <w:rPr>
            <w:b/>
            <w:bCs/>
          </w:rPr>
          <w:t>BM Unit</w:t>
        </w:r>
        <w:r w:rsidRPr="007B476E">
          <w:t xml:space="preserve"> may not equal the total GMWh for the </w:t>
        </w:r>
        <w:r w:rsidRPr="007B476E">
          <w:rPr>
            <w:b/>
            <w:bCs/>
          </w:rPr>
          <w:t>Power Station</w:t>
        </w:r>
        <w:r w:rsidRPr="007B476E">
          <w:t xml:space="preserve">, for example where generation output from one </w:t>
        </w:r>
        <w:r w:rsidRPr="007B476E">
          <w:rPr>
            <w:b/>
            <w:bCs/>
          </w:rPr>
          <w:t>BM Unit</w:t>
        </w:r>
        <w:r w:rsidRPr="007B476E">
          <w:t xml:space="preserve"> is imported at another.</w:t>
        </w:r>
      </w:ins>
    </w:p>
    <w:p w14:paraId="708DC042" w14:textId="77777777" w:rsidR="00E007C4" w:rsidRDefault="00E007C4" w:rsidP="00636937">
      <w:pPr>
        <w:pStyle w:val="1"/>
        <w:ind w:left="1440"/>
      </w:pPr>
    </w:p>
    <w:p w14:paraId="00C56DA4" w14:textId="77777777" w:rsidR="00DC0A93" w:rsidRDefault="00DC0A93" w:rsidP="009945F1">
      <w:pPr>
        <w:pStyle w:val="1"/>
        <w:rPr>
          <w:ins w:id="201" w:author="Martin Cahill [NESO]" w:date="2025-05-20T13:39:00Z" w16du:dateUtc="2025-05-20T12:39:00Z"/>
        </w:rPr>
      </w:pPr>
    </w:p>
    <w:p w14:paraId="043C7562" w14:textId="77777777" w:rsidR="00DC0A93" w:rsidRPr="007B476E" w:rsidRDefault="00000000" w:rsidP="00DC0A93">
      <w:pPr>
        <w:pStyle w:val="1"/>
        <w:ind w:left="1440"/>
        <w:jc w:val="center"/>
        <w:rPr>
          <w:ins w:id="202" w:author="Martin Cahill [NESO]" w:date="2025-05-20T13:39:00Z" w16du:dateUtc="2025-05-20T12:39:00Z"/>
        </w:rPr>
      </w:pPr>
      <m:oMathPara>
        <m:oMath>
          <m:sSub>
            <m:sSubPr>
              <m:ctrlPr>
                <w:ins w:id="203" w:author="Martin Cahill [NESO]" w:date="2025-05-20T13:39:00Z" w16du:dateUtc="2025-05-20T12:39:00Z">
                  <w:rPr>
                    <w:rFonts w:ascii="Cambria Math" w:hAnsi="Cambria Math"/>
                    <w:i/>
                  </w:rPr>
                </w:ins>
              </m:ctrlPr>
            </m:sSubPr>
            <m:e>
              <m:r>
                <w:ins w:id="204" w:author="Martin Cahill [NESO]" w:date="2025-05-20T13:39:00Z" w16du:dateUtc="2025-05-20T12:39:00Z">
                  <w:rPr>
                    <w:rFonts w:ascii="Cambria Math" w:hAnsi="Cambria Math"/>
                  </w:rPr>
                  <m:t>ALF</m:t>
                </w:ins>
              </m:r>
            </m:e>
            <m:sub>
              <m:r>
                <w:ins w:id="205" w:author="Martin Cahill [NESO]" w:date="2025-05-20T13:39:00Z" w16du:dateUtc="2025-05-20T12:39:00Z">
                  <w:rPr>
                    <w:rFonts w:ascii="Cambria Math" w:hAnsi="Cambria Math"/>
                  </w:rPr>
                  <m:t>BMU</m:t>
                </w:ins>
              </m:r>
            </m:sub>
          </m:sSub>
          <m:r>
            <w:ins w:id="206" w:author="Martin Cahill [NESO]" w:date="2025-05-20T13:39:00Z" w16du:dateUtc="2025-05-20T12:39:00Z">
              <w:rPr>
                <w:rFonts w:ascii="Cambria Math" w:hAnsi="Cambria Math"/>
              </w:rPr>
              <m:t>=</m:t>
            </w:ins>
          </m:r>
          <m:f>
            <m:fPr>
              <m:ctrlPr>
                <w:ins w:id="207" w:author="Martin Cahill [NESO]" w:date="2025-05-20T13:39:00Z" w16du:dateUtc="2025-05-20T12:39:00Z">
                  <w:rPr>
                    <w:rFonts w:ascii="Cambria Math" w:hAnsi="Cambria Math"/>
                    <w:i/>
                  </w:rPr>
                </w:ins>
              </m:ctrlPr>
            </m:fPr>
            <m:num>
              <m:nary>
                <m:naryPr>
                  <m:chr m:val="∑"/>
                  <m:limLoc m:val="undOvr"/>
                  <m:ctrlPr>
                    <w:ins w:id="208" w:author="Martin Cahill [NESO]" w:date="2025-05-20T13:39:00Z" w16du:dateUtc="2025-05-20T12:39:00Z">
                      <w:rPr>
                        <w:rFonts w:ascii="Cambria Math" w:hAnsi="Cambria Math"/>
                        <w:i/>
                      </w:rPr>
                    </w:ins>
                  </m:ctrlPr>
                </m:naryPr>
                <m:sub>
                  <m:r>
                    <w:ins w:id="209" w:author="Martin Cahill [NESO]" w:date="2025-05-20T13:39:00Z" w16du:dateUtc="2025-05-20T12:39:00Z">
                      <w:rPr>
                        <w:rFonts w:ascii="Cambria Math" w:hAnsi="Cambria Math"/>
                      </w:rPr>
                      <m:t>p=1</m:t>
                    </w:ins>
                  </m:r>
                </m:sub>
                <m:sup>
                  <m:r>
                    <w:ins w:id="210" w:author="Martin Cahill [NESO]" w:date="2025-05-20T13:39:00Z" w16du:dateUtc="2025-05-20T12:39:00Z">
                      <w:rPr>
                        <w:rFonts w:ascii="Cambria Math" w:hAnsi="Cambria Math"/>
                      </w:rPr>
                      <m:t>17520</m:t>
                    </w:ins>
                  </m:r>
                </m:sup>
                <m:e>
                  <m:sSub>
                    <m:sSubPr>
                      <m:ctrlPr>
                        <w:ins w:id="211" w:author="Martin Cahill [NESO]" w:date="2025-05-20T13:39:00Z" w16du:dateUtc="2025-05-20T12:39:00Z">
                          <w:rPr>
                            <w:rFonts w:ascii="Cambria Math" w:hAnsi="Cambria Math"/>
                            <w:i/>
                          </w:rPr>
                        </w:ins>
                      </m:ctrlPr>
                    </m:sSubPr>
                    <m:e>
                      <m:r>
                        <w:ins w:id="212" w:author="Martin Cahill [NESO]" w:date="2025-05-20T13:39:00Z" w16du:dateUtc="2025-05-20T12:39:00Z">
                          <w:rPr>
                            <w:rFonts w:ascii="Cambria Math" w:hAnsi="Cambria Math"/>
                          </w:rPr>
                          <m:t>GMWh</m:t>
                        </w:ins>
                      </m:r>
                    </m:e>
                    <m:sub>
                      <m:r>
                        <w:ins w:id="213" w:author="Martin Cahill [NESO]" w:date="2025-05-20T13:39:00Z" w16du:dateUtc="2025-05-20T12:39:00Z">
                          <w:rPr>
                            <w:rFonts w:ascii="Cambria Math" w:hAnsi="Cambria Math"/>
                          </w:rPr>
                          <m:t>pBMU</m:t>
                        </w:ins>
                      </m:r>
                    </m:sub>
                  </m:sSub>
                </m:e>
              </m:nary>
            </m:num>
            <m:den>
              <m:nary>
                <m:naryPr>
                  <m:chr m:val="∑"/>
                  <m:limLoc m:val="undOvr"/>
                  <m:ctrlPr>
                    <w:ins w:id="214" w:author="Martin Cahill [NESO]" w:date="2025-05-20T13:39:00Z" w16du:dateUtc="2025-05-20T12:39:00Z">
                      <w:rPr>
                        <w:rFonts w:ascii="Cambria Math" w:hAnsi="Cambria Math"/>
                        <w:i/>
                      </w:rPr>
                    </w:ins>
                  </m:ctrlPr>
                </m:naryPr>
                <m:sub>
                  <m:r>
                    <w:ins w:id="215" w:author="Martin Cahill [NESO]" w:date="2025-05-20T13:39:00Z" w16du:dateUtc="2025-05-20T12:39:00Z">
                      <w:rPr>
                        <w:rFonts w:ascii="Cambria Math" w:hAnsi="Cambria Math"/>
                      </w:rPr>
                      <m:t>p=1</m:t>
                    </w:ins>
                  </m:r>
                </m:sub>
                <m:sup>
                  <m:r>
                    <w:ins w:id="216" w:author="Martin Cahill [NESO]" w:date="2025-05-20T13:39:00Z" w16du:dateUtc="2025-05-20T12:39:00Z">
                      <w:rPr>
                        <w:rFonts w:ascii="Cambria Math" w:hAnsi="Cambria Math"/>
                      </w:rPr>
                      <m:t>17520</m:t>
                    </w:ins>
                  </m:r>
                </m:sup>
                <m:e>
                  <m:sSub>
                    <m:sSubPr>
                      <m:ctrlPr>
                        <w:ins w:id="217" w:author="Martin Cahill [NESO]" w:date="2025-05-20T13:39:00Z" w16du:dateUtc="2025-05-20T12:39:00Z">
                          <w:rPr>
                            <w:rFonts w:ascii="Cambria Math" w:hAnsi="Cambria Math"/>
                            <w:i/>
                          </w:rPr>
                        </w:ins>
                      </m:ctrlPr>
                    </m:sSubPr>
                    <m:e>
                      <m:r>
                        <w:ins w:id="218" w:author="Martin Cahill [NESO]" w:date="2025-05-20T13:39:00Z" w16du:dateUtc="2025-05-20T12:39:00Z">
                          <w:rPr>
                            <w:rFonts w:ascii="Cambria Math" w:hAnsi="Cambria Math"/>
                          </w:rPr>
                          <m:t>TEC</m:t>
                        </w:ins>
                      </m:r>
                    </m:e>
                    <m:sub>
                      <m:r>
                        <w:ins w:id="219" w:author="Martin Cahill [NESO]" w:date="2025-05-20T13:39:00Z" w16du:dateUtc="2025-05-20T12:39:00Z">
                          <w:rPr>
                            <w:rFonts w:ascii="Cambria Math" w:hAnsi="Cambria Math"/>
                          </w:rPr>
                          <m:t>p</m:t>
                        </w:ins>
                      </m:r>
                    </m:sub>
                  </m:sSub>
                </m:e>
              </m:nary>
              <m:r>
                <w:ins w:id="220" w:author="Martin Cahill [NESO]" w:date="2025-05-20T13:39:00Z" w16du:dateUtc="2025-05-20T12:39:00Z">
                  <w:rPr>
                    <w:rFonts w:ascii="Cambria Math" w:hAnsi="Cambria Math"/>
                  </w:rPr>
                  <m:t xml:space="preserve"> ×0.5</m:t>
                </w:ins>
              </m:r>
            </m:den>
          </m:f>
        </m:oMath>
      </m:oMathPara>
    </w:p>
    <w:p w14:paraId="2FA332D7" w14:textId="77777777" w:rsidR="00DC0A93" w:rsidRPr="007B476E" w:rsidRDefault="00DC0A93" w:rsidP="009945F1">
      <w:pPr>
        <w:pStyle w:val="1"/>
        <w:rPr>
          <w:ins w:id="221" w:author="Martin Cahill [NESO]" w:date="2025-05-20T13:39:00Z" w16du:dateUtc="2025-05-20T12:39:00Z"/>
        </w:rPr>
      </w:pPr>
    </w:p>
    <w:p w14:paraId="032872E2" w14:textId="77777777" w:rsidR="004B5822" w:rsidRPr="007B476E" w:rsidRDefault="004B5822" w:rsidP="003309BF">
      <w:pPr>
        <w:pStyle w:val="1"/>
        <w:ind w:left="720" w:firstLine="720"/>
        <w:rPr>
          <w:ins w:id="222" w:author="Martin Cahill [NESO]" w:date="2025-05-20T13:40:00Z"/>
        </w:rPr>
      </w:pPr>
      <w:ins w:id="223" w:author="Martin Cahill [NESO]" w:date="2025-05-20T13:40:00Z">
        <w:r w:rsidRPr="007B476E">
          <w:t>Where:</w:t>
        </w:r>
      </w:ins>
    </w:p>
    <w:p w14:paraId="4D6B1ACA" w14:textId="47CA0CC0" w:rsidR="00F827F1" w:rsidRPr="007B476E" w:rsidRDefault="00F827F1" w:rsidP="00F827F1">
      <w:pPr>
        <w:pStyle w:val="1"/>
        <w:ind w:left="1440"/>
        <w:rPr>
          <w:ins w:id="224" w:author="Martin Cahill [NESO]" w:date="2025-05-20T13:41:00Z" w16du:dateUtc="2025-05-20T12:41:00Z"/>
        </w:rPr>
      </w:pPr>
      <w:ins w:id="225" w:author="Martin Cahill [NESO]" w:date="2025-05-20T13:41:00Z" w16du:dateUtc="2025-05-20T12:41:00Z">
        <w:r w:rsidRPr="007B476E">
          <w:t>ALF</w:t>
        </w:r>
        <w:r w:rsidRPr="007B476E">
          <w:rPr>
            <w:vertAlign w:val="subscript"/>
          </w:rPr>
          <w:t>BMU</w:t>
        </w:r>
        <w:r w:rsidRPr="007B476E">
          <w:t xml:space="preserve"> is the ALF for a </w:t>
        </w:r>
        <w:r w:rsidRPr="007B476E">
          <w:rPr>
            <w:b/>
            <w:bCs/>
          </w:rPr>
          <w:t>BM Unit</w:t>
        </w:r>
        <w:r w:rsidRPr="007B476E">
          <w:t xml:space="preserve"> at a multi technology </w:t>
        </w:r>
        <w:r w:rsidRPr="007B476E">
          <w:rPr>
            <w:b/>
            <w:bCs/>
          </w:rPr>
          <w:t>Power Station</w:t>
        </w:r>
      </w:ins>
      <w:r w:rsidR="002C2140">
        <w:rPr>
          <w:b/>
          <w:bCs/>
        </w:rPr>
        <w:t>.</w:t>
      </w:r>
    </w:p>
    <w:p w14:paraId="20EF8696" w14:textId="2D57EEAA" w:rsidR="00F827F1" w:rsidRDefault="00F827F1" w:rsidP="00F827F1">
      <w:pPr>
        <w:pStyle w:val="1"/>
        <w:ind w:left="1440"/>
        <w:rPr>
          <w:ins w:id="226" w:author="Martin Cahill [NESO]" w:date="2025-05-20T13:41:00Z" w16du:dateUtc="2025-05-20T12:41:00Z"/>
        </w:rPr>
      </w:pPr>
      <w:ins w:id="227" w:author="Martin Cahill [NESO]" w:date="2025-05-20T13:41:00Z" w16du:dateUtc="2025-05-20T12:41:00Z">
        <w:r w:rsidRPr="007B476E">
          <w:t>GMWh</w:t>
        </w:r>
        <w:r w:rsidRPr="007B476E">
          <w:rPr>
            <w:vertAlign w:val="subscript"/>
          </w:rPr>
          <w:t>pBMU</w:t>
        </w:r>
        <w:r w:rsidRPr="007B476E">
          <w:t xml:space="preserve"> is the maximum of FPN or actual metered output in a </w:t>
        </w:r>
        <w:r w:rsidRPr="007B476E">
          <w:rPr>
            <w:b/>
            <w:bCs/>
          </w:rPr>
          <w:t>Settlement Period</w:t>
        </w:r>
        <w:r w:rsidRPr="007B476E">
          <w:t xml:space="preserve"> related to the </w:t>
        </w:r>
        <w:r w:rsidRPr="007B476E">
          <w:rPr>
            <w:b/>
            <w:bCs/>
          </w:rPr>
          <w:t>BM Unit</w:t>
        </w:r>
      </w:ins>
      <w:r w:rsidR="002C2140" w:rsidRPr="002C2140">
        <w:t>.</w:t>
      </w:r>
      <w:ins w:id="228" w:author="Martin Cahill [NESO]" w:date="2025-05-20T13:41:00Z" w16du:dateUtc="2025-05-20T12:41:00Z">
        <w:r w:rsidRPr="002C2140">
          <w:t xml:space="preserve"> </w:t>
        </w:r>
      </w:ins>
    </w:p>
    <w:p w14:paraId="636FC17A" w14:textId="323DAD27" w:rsidR="00636937" w:rsidDel="004B5822" w:rsidRDefault="00636937" w:rsidP="00636937">
      <w:pPr>
        <w:pStyle w:val="1"/>
        <w:ind w:left="1440"/>
        <w:rPr>
          <w:del w:id="229" w:author="Martin Cahill [NESO]" w:date="2025-05-20T13:40:00Z" w16du:dateUtc="2025-05-20T12:40:00Z"/>
        </w:rPr>
      </w:pPr>
    </w:p>
    <w:p w14:paraId="515E40F5" w14:textId="77777777" w:rsidR="00636937" w:rsidRPr="00891501" w:rsidRDefault="00636937" w:rsidP="00636937">
      <w:pPr>
        <w:pStyle w:val="1"/>
        <w:ind w:left="720"/>
        <w:jc w:val="both"/>
      </w:pPr>
    </w:p>
    <w:p w14:paraId="27EED677" w14:textId="40343637" w:rsidR="00636937" w:rsidRPr="00823D2E" w:rsidRDefault="00664194" w:rsidP="007D27B2">
      <w:pPr>
        <w:pStyle w:val="1"/>
        <w:numPr>
          <w:ilvl w:val="0"/>
          <w:numId w:val="90"/>
        </w:numPr>
        <w:jc w:val="both"/>
        <w:rPr>
          <w:b/>
        </w:rPr>
      </w:pPr>
      <w:ins w:id="230" w:author="Martin Cahill [NESO]" w:date="2025-05-20T13:42:00Z" w16du:dateUtc="2025-05-20T12:42:00Z">
        <w:r>
          <w:t xml:space="preserve">For </w:t>
        </w:r>
      </w:ins>
      <w:ins w:id="231" w:author="Martin Cahill [NESO]" w:date="2025-05-20T13:43:00Z" w16du:dateUtc="2025-05-20T12:43:00Z">
        <w:r w:rsidR="0071064D" w:rsidRPr="002E574D">
          <w:t xml:space="preserve">single </w:t>
        </w:r>
      </w:ins>
      <w:ins w:id="232" w:author="Martin Cahill [NESO]" w:date="2025-05-20T13:42:00Z" w16du:dateUtc="2025-05-20T12:42:00Z">
        <w:r w:rsidRPr="002E574D">
          <w:t xml:space="preserve">technology </w:t>
        </w:r>
        <w:r w:rsidRPr="003309BF">
          <w:rPr>
            <w:b/>
            <w:bCs/>
          </w:rPr>
          <w:t>Power Stations</w:t>
        </w:r>
        <w:r w:rsidRPr="002E574D">
          <w:t>,</w:t>
        </w:r>
        <w:r w:rsidR="0071064D" w:rsidRPr="002E574D">
          <w:t xml:space="preserve"> </w:t>
        </w:r>
      </w:ins>
      <w:del w:id="233" w:author="Martin Cahill [NESO]" w:date="2025-05-20T13:42:00Z" w16du:dateUtc="2025-05-20T12:42:00Z">
        <w:r w:rsidR="00636937" w:rsidRPr="002E574D" w:rsidDel="00664194">
          <w:delText>T</w:delText>
        </w:r>
      </w:del>
      <w:ins w:id="234" w:author="Martin Cahill [NESO]" w:date="2025-05-20T13:42:00Z" w16du:dateUtc="2025-05-20T12:42:00Z">
        <w:r w:rsidRPr="002E574D">
          <w:t>t</w:t>
        </w:r>
      </w:ins>
      <w:r w:rsidR="00636937" w:rsidRPr="002E574D">
        <w:t xml:space="preserve">he appropriate output (FPN or actual metered) figure is derived from </w:t>
      </w:r>
      <w:r w:rsidR="00636937" w:rsidRPr="002E574D">
        <w:rPr>
          <w:b/>
        </w:rPr>
        <w:t>BM Unit</w:t>
      </w:r>
      <w:r w:rsidR="00636937" w:rsidRPr="002E574D">
        <w:t xml:space="preserve"> data available to </w:t>
      </w:r>
      <w:r w:rsidR="00E71EB2" w:rsidRPr="002E574D">
        <w:rPr>
          <w:b/>
        </w:rPr>
        <w:t>The Company</w:t>
      </w:r>
      <w:r w:rsidR="001C0596" w:rsidRPr="002E574D">
        <w:t xml:space="preserve"> </w:t>
      </w:r>
      <w:r w:rsidR="00636937" w:rsidRPr="002E574D">
        <w:t xml:space="preserve">and relates to the total TEC of the Power Station. </w:t>
      </w:r>
      <w:ins w:id="235" w:author="Martin Cahill [NESO]" w:date="2025-05-20T13:43:00Z" w16du:dateUtc="2025-05-20T12:43:00Z">
        <w:r w:rsidR="003D35D0" w:rsidRPr="002E574D">
          <w:t xml:space="preserve">For multiple technology </w:t>
        </w:r>
        <w:r w:rsidR="003D35D0" w:rsidRPr="002E574D">
          <w:rPr>
            <w:b/>
            <w:bCs/>
          </w:rPr>
          <w:t>Power Stations</w:t>
        </w:r>
        <w:r w:rsidR="003D35D0" w:rsidRPr="002E574D">
          <w:t xml:space="preserve">, the appropriate output (FPN or actual metered) figure is derived from the </w:t>
        </w:r>
        <w:r w:rsidR="003D35D0" w:rsidRPr="002E574D">
          <w:rPr>
            <w:b/>
            <w:bCs/>
          </w:rPr>
          <w:t>BM Unit</w:t>
        </w:r>
        <w:r w:rsidR="003D35D0" w:rsidRPr="002E574D">
          <w:t xml:space="preserve"> data available to </w:t>
        </w:r>
        <w:r w:rsidR="003D35D0" w:rsidRPr="002E574D">
          <w:rPr>
            <w:b/>
            <w:bCs/>
          </w:rPr>
          <w:t>The Company</w:t>
        </w:r>
        <w:r w:rsidR="003D35D0" w:rsidRPr="002E574D">
          <w:t xml:space="preserve"> and associated with MTEC.</w:t>
        </w:r>
      </w:ins>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r w:rsidRPr="00891501">
        <w:t xml:space="preserve">In the event that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In the event that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r w:rsidRPr="00891501">
        <w:t xml:space="preserve">In the event that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exist, then data from all existing generators of that particular generation plant type will be used. Example generation plant</w:t>
      </w:r>
      <w:r w:rsidRPr="00891501">
        <w:t xml:space="preserve"> type</w:t>
      </w:r>
      <w:r>
        <w:t xml:space="preserve"> </w:t>
      </w:r>
      <w:r w:rsidRPr="00891501">
        <w:t>categories are listed below;</w:t>
      </w:r>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the  best information available e.g. from manufactu</w:t>
      </w:r>
      <w:r w:rsidR="00891782">
        <w:t>er</w:t>
      </w:r>
      <w:r>
        <w:t>s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000000"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r w:rsidRPr="00AB4296">
        <w:rPr>
          <w:rFonts w:ascii="Arial" w:eastAsia="Arial" w:hAnsi="Arial"/>
          <w:spacing w:val="1"/>
          <w:sz w:val="22"/>
          <w:szCs w:val="22"/>
          <w:lang w:val="en-US"/>
        </w:rPr>
        <w:t xml:space="preserve">Where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r w:rsidRPr="00AB4296">
        <w:rPr>
          <w:rFonts w:ascii="Arial" w:eastAsia="Arial" w:hAnsi="Arial"/>
          <w:sz w:val="22"/>
          <w:szCs w:val="22"/>
          <w:lang w:val="en-US"/>
        </w:rPr>
        <w:t>ITT</w:t>
      </w:r>
      <w:r w:rsidRPr="00F84A36">
        <w:rPr>
          <w:rFonts w:ascii="Arial" w:eastAsia="Arial" w:hAnsi="Arial"/>
          <w:sz w:val="11"/>
          <w:lang w:val="en-US"/>
        </w:rPr>
        <w:t xml:space="preserve">DiPS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Peak Security Initial Transport Tariff for the demand zone</w:t>
      </w:r>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r w:rsidRPr="00AB4296">
        <w:rPr>
          <w:rFonts w:ascii="Arial" w:eastAsia="Arial" w:hAnsi="Arial"/>
          <w:sz w:val="22"/>
          <w:szCs w:val="22"/>
          <w:lang w:val="en-US"/>
        </w:rPr>
        <w:t>ITT</w:t>
      </w:r>
      <w:r w:rsidRPr="00F84A36">
        <w:rPr>
          <w:rFonts w:ascii="Arial" w:eastAsia="Arial" w:hAnsi="Arial"/>
          <w:sz w:val="11"/>
          <w:lang w:val="en-US"/>
        </w:rPr>
        <w:t xml:space="preserve">DiYR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Year Round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r w:rsidRPr="00AB4296">
        <w:rPr>
          <w:rFonts w:ascii="Arial" w:eastAsia="Arial" w:hAnsi="Arial"/>
          <w:spacing w:val="1"/>
          <w:sz w:val="22"/>
          <w:szCs w:val="22"/>
        </w:rPr>
        <w:t xml:space="preserve">Where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as a consequence of embedded generation connected to the distribution networks served by those GSPs. It is calculated from the average annuitised cost of that infrastructure reinforcement divided by the average capacity delivered by a supergrid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price  control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supergrid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The Value of EET</w:t>
      </w:r>
      <w:r w:rsidRPr="00F84A36">
        <w:rPr>
          <w:rFonts w:ascii="Arial" w:eastAsia="Arial" w:hAnsi="Arial"/>
          <w:sz w:val="18"/>
          <w:vertAlign w:val="subscript"/>
        </w:rPr>
        <w:t xml:space="preserve">Di </w:t>
      </w:r>
      <w:r w:rsidRPr="00AB4296">
        <w:rPr>
          <w:rFonts w:ascii="Arial" w:eastAsia="Arial" w:hAnsi="Arial"/>
          <w:sz w:val="22"/>
          <w:szCs w:val="22"/>
        </w:rPr>
        <w:t>will be floored at zero, so that</w:t>
      </w:r>
      <w:r w:rsidRPr="00F84A36">
        <w:rPr>
          <w:rFonts w:ascii="Arial" w:eastAsia="Arial" w:hAnsi="Arial"/>
          <w:sz w:val="18"/>
        </w:rPr>
        <w:t xml:space="preserve"> </w:t>
      </w:r>
      <w:r w:rsidRPr="009F2380">
        <w:rPr>
          <w:rFonts w:ascii="Arial" w:eastAsia="Arial" w:hAnsi="Arial"/>
          <w:sz w:val="22"/>
          <w:szCs w:val="22"/>
        </w:rPr>
        <w:t>EET</w:t>
      </w:r>
      <w:r w:rsidRPr="00F84A36">
        <w:rPr>
          <w:rFonts w:ascii="Arial" w:eastAsia="Arial" w:hAnsi="Arial"/>
          <w:sz w:val="18"/>
          <w:vertAlign w:val="subscript"/>
        </w:rPr>
        <w:t xml:space="preserve">Di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DcPS</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DdPS</w:t>
      </w:r>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DcYR</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DdYR</w:t>
      </w:r>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r w:rsidRPr="00EE2ACE">
        <w:rPr>
          <w:rFonts w:ascii="Arial" w:eastAsia="Arial" w:hAnsi="Arial"/>
          <w:sz w:val="22"/>
          <w:szCs w:val="22"/>
          <w:lang w:val="en-US"/>
        </w:rPr>
        <w:t>ITT</w:t>
      </w:r>
      <w:r w:rsidRPr="00EE2ACE">
        <w:rPr>
          <w:rFonts w:ascii="Arial" w:eastAsia="Arial" w:hAnsi="Arial"/>
          <w:sz w:val="11"/>
          <w:lang w:val="en-US"/>
        </w:rPr>
        <w:t xml:space="preserve">DcPS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 xml:space="preserve">DdPS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 xml:space="preserve">DcYR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 xml:space="preserve">DdYR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r w:rsidRPr="000B6C0D">
        <w:rPr>
          <w:rFonts w:ascii="Arial" w:hAnsi="Arial"/>
          <w:sz w:val="22"/>
        </w:rPr>
        <w:t>Where</w:t>
      </w:r>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G</w:t>
      </w:r>
      <w:r w:rsidRPr="000B6C0D">
        <w:rPr>
          <w:rFonts w:ascii="Arial" w:hAnsi="Arial"/>
          <w:sz w:val="22"/>
          <w:vertAlign w:val="subscript"/>
        </w:rPr>
        <w:t>Gi</w:t>
      </w:r>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D</w:t>
      </w:r>
      <w:r w:rsidRPr="000B6C0D">
        <w:rPr>
          <w:rFonts w:ascii="Arial" w:hAnsi="Arial"/>
          <w:sz w:val="22"/>
          <w:vertAlign w:val="subscript"/>
        </w:rPr>
        <w:t>Di</w:t>
      </w:r>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r w:rsidRPr="00026AFD">
        <w:rPr>
          <w:rFonts w:ascii="Arial" w:hAnsi="Arial" w:cs="Arial"/>
        </w:rPr>
        <w:t>Year Round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from Non Conventional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000000"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000000"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t>Year Round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Non Conventional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t xml:space="preserve">Year Round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t xml:space="preserve">Year Round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t xml:space="preserve">Year Round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gross  GSP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236"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t xml:space="preserve">Year Round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000000"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r>
        <w:t xml:space="preserve">Where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EEV</w:t>
      </w:r>
      <w:r>
        <w:rPr>
          <w:rFonts w:ascii="Arial" w:hAnsi="Arial"/>
          <w:sz w:val="22"/>
          <w:vertAlign w:val="subscript"/>
        </w:rPr>
        <w:t>Di</w:t>
      </w:r>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237" w:name="_Toc208554779"/>
      <w:bookmarkStart w:id="238" w:name="_Toc208745842"/>
      <w:bookmarkStart w:id="239" w:name="_Toc274049688"/>
      <w:r w:rsidRPr="00D76842">
        <w:rPr>
          <w:color w:val="auto"/>
        </w:rPr>
        <w:t>Deriving the Final Local Tariff</w:t>
      </w:r>
      <w:bookmarkEnd w:id="237"/>
      <w:bookmarkEnd w:id="238"/>
      <w:r>
        <w:rPr>
          <w:color w:val="auto"/>
        </w:rPr>
        <w:t xml:space="preserve"> (</w:t>
      </w:r>
      <w:r w:rsidRPr="00D76842">
        <w:rPr>
          <w:color w:val="auto"/>
        </w:rPr>
        <w:t>£/kW</w:t>
      </w:r>
      <w:r>
        <w:rPr>
          <w:color w:val="auto"/>
        </w:rPr>
        <w:t>)</w:t>
      </w:r>
      <w:bookmarkEnd w:id="239"/>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240" w:name="_Toc208554780"/>
      <w:bookmarkStart w:id="241" w:name="_Toc208745843"/>
      <w:bookmarkStart w:id="242" w:name="_Toc274049689"/>
      <w:r w:rsidRPr="009F4FB0">
        <w:rPr>
          <w:i/>
          <w:color w:val="auto"/>
        </w:rPr>
        <w:t>Local Circuit Tariff</w:t>
      </w:r>
      <w:bookmarkEnd w:id="240"/>
      <w:bookmarkEnd w:id="241"/>
      <w:bookmarkEnd w:id="242"/>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Year Round</w:t>
      </w:r>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r w:rsidRPr="009F4FB0">
        <w:rPr>
          <w:rFonts w:ascii="Arial" w:hAnsi="Arial"/>
          <w:sz w:val="22"/>
        </w:rPr>
        <w:t>Where</w:t>
      </w:r>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r w:rsidRPr="00D76842">
        <w:rPr>
          <w:rFonts w:ascii="Arial" w:hAnsi="Arial"/>
          <w:sz w:val="22"/>
        </w:rPr>
        <w:tab/>
        <w:t>=</w:t>
      </w:r>
      <w:r w:rsidRPr="00D76842">
        <w:rPr>
          <w:rFonts w:ascii="Arial" w:hAnsi="Arial"/>
          <w:sz w:val="22"/>
        </w:rPr>
        <w:tab/>
      </w:r>
      <w:r w:rsidR="0079786A">
        <w:rPr>
          <w:rFonts w:ascii="Arial" w:hAnsi="Arial"/>
          <w:sz w:val="22"/>
        </w:rPr>
        <w:t xml:space="preserve">Year Round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r w:rsidRPr="00D76842">
        <w:rPr>
          <w:rFonts w:ascii="Arial" w:hAnsi="Arial"/>
          <w:sz w:val="22"/>
        </w:rPr>
        <w:t>LocalSF</w:t>
      </w:r>
      <w:r>
        <w:rPr>
          <w:rFonts w:ascii="Arial" w:hAnsi="Arial"/>
          <w:i/>
          <w:sz w:val="22"/>
          <w:vertAlign w:val="subscript"/>
        </w:rPr>
        <w:t>k</w:t>
      </w:r>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CLT</w:t>
      </w:r>
      <w:r w:rsidRPr="00D76842">
        <w:rPr>
          <w:rFonts w:ascii="Arial" w:hAnsi="Arial"/>
          <w:sz w:val="22"/>
          <w:vertAlign w:val="subscript"/>
        </w:rPr>
        <w:t>Gi</w:t>
      </w:r>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243" w:name="_Toc208554781"/>
      <w:bookmarkStart w:id="244" w:name="_Toc208745844"/>
    </w:p>
    <w:p w14:paraId="7839E442" w14:textId="77777777" w:rsidR="006661FE" w:rsidRPr="00543982" w:rsidRDefault="006661FE" w:rsidP="006661FE">
      <w:pPr>
        <w:pStyle w:val="Heading3"/>
        <w:ind w:left="709"/>
        <w:rPr>
          <w:rFonts w:ascii="Arial" w:hAnsi="Arial" w:cs="Arial"/>
          <w:b/>
        </w:rPr>
      </w:pPr>
      <w:bookmarkStart w:id="245" w:name="_Toc274049690"/>
      <w:r w:rsidRPr="00543982">
        <w:rPr>
          <w:rFonts w:ascii="Arial" w:hAnsi="Arial" w:cs="Arial"/>
          <w:b/>
        </w:rPr>
        <w:t>Onshore Local Substation Tariff</w:t>
      </w:r>
      <w:bookmarkEnd w:id="243"/>
      <w:bookmarkEnd w:id="244"/>
      <w:bookmarkEnd w:id="245"/>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type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usbar and mesh sub station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r w:rsidRPr="00D76842">
        <w:rPr>
          <w:szCs w:val="22"/>
        </w:rPr>
        <w:t>Where</w:t>
      </w:r>
    </w:p>
    <w:p w14:paraId="24949727" w14:textId="77777777" w:rsidR="006661FE" w:rsidRPr="00D76842" w:rsidRDefault="006661FE" w:rsidP="006661FE">
      <w:pPr>
        <w:pStyle w:val="1"/>
        <w:ind w:left="709"/>
        <w:jc w:val="both"/>
        <w:rPr>
          <w:szCs w:val="22"/>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t>SLT</w:t>
      </w:r>
      <w:r w:rsidRPr="00021E42">
        <w:rPr>
          <w:szCs w:val="22"/>
          <w:vertAlign w:val="subscript"/>
        </w:rPr>
        <w:t>Gi</w:t>
      </w:r>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246" w:name="_Ref221008896"/>
      <w:r>
        <w:rPr>
          <w:szCs w:val="22"/>
        </w:rPr>
        <w:t xml:space="preserve">Where tariffs do not change mid way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t>LT</w:t>
      </w:r>
      <w:r w:rsidRPr="00021E42">
        <w:rPr>
          <w:szCs w:val="22"/>
          <w:vertAlign w:val="subscript"/>
        </w:rPr>
        <w:t xml:space="preserve">Gi </w:t>
      </w:r>
    </w:p>
    <w:p w14:paraId="0C44666E" w14:textId="77777777" w:rsidR="006661FE" w:rsidRPr="00D76842" w:rsidRDefault="006661FE" w:rsidP="006661FE">
      <w:pPr>
        <w:pStyle w:val="1"/>
        <w:ind w:left="709"/>
        <w:jc w:val="both"/>
        <w:rPr>
          <w:szCs w:val="22"/>
        </w:rPr>
      </w:pPr>
      <w:r w:rsidRPr="00D76842">
        <w:rPr>
          <w:szCs w:val="22"/>
        </w:rPr>
        <w:t>Where</w:t>
      </w:r>
    </w:p>
    <w:p w14:paraId="371A2F20" w14:textId="77777777" w:rsidR="006661FE" w:rsidRPr="00D76842" w:rsidRDefault="006661FE" w:rsidP="006661FE">
      <w:pPr>
        <w:pStyle w:val="1"/>
        <w:ind w:left="709"/>
        <w:jc w:val="both"/>
        <w:rPr>
          <w:szCs w:val="22"/>
        </w:rPr>
      </w:pP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246"/>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t>Where</w:t>
      </w:r>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r>
        <w:rPr>
          <w:rFonts w:ascii="Arial" w:hAnsi="Arial"/>
          <w:sz w:val="22"/>
        </w:rPr>
        <w:t>G</w:t>
      </w:r>
      <w:r>
        <w:rPr>
          <w:rFonts w:ascii="Arial" w:hAnsi="Arial"/>
          <w:sz w:val="22"/>
          <w:vertAlign w:val="subscript"/>
        </w:rPr>
        <w:t>j</w:t>
      </w:r>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247" w:name="_Toc274049691"/>
      <w:r w:rsidRPr="00543982">
        <w:rPr>
          <w:rFonts w:ascii="Arial" w:hAnsi="Arial" w:cs="Arial"/>
          <w:b/>
        </w:rPr>
        <w:t>Offshore substation local tariff</w:t>
      </w:r>
      <w:bookmarkEnd w:id="247"/>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r>
        <w:rPr>
          <w:rFonts w:cs="Arial"/>
          <w:szCs w:val="22"/>
        </w:rPr>
        <w:t>SLT</w:t>
      </w:r>
      <w:r w:rsidRPr="0045534C">
        <w:rPr>
          <w:rFonts w:cs="Arial"/>
          <w:szCs w:val="22"/>
          <w:vertAlign w:val="subscript"/>
        </w:rPr>
        <w:t>k</w:t>
      </w:r>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248" w:name="_Toc49661115"/>
      <w:bookmarkStart w:id="249" w:name="_Toc274049692"/>
      <w:bookmarkEnd w:id="236"/>
      <w:r w:rsidRPr="00CD5631">
        <w:rPr>
          <w:rFonts w:ascii="Arial" w:hAnsi="Arial" w:cs="Arial"/>
          <w:b/>
          <w:color w:val="00B0F0"/>
        </w:rPr>
        <w:t xml:space="preserve">The </w:t>
      </w:r>
      <w:r w:rsidR="0003584B">
        <w:rPr>
          <w:rFonts w:ascii="Arial" w:hAnsi="Arial" w:cs="Arial"/>
          <w:b/>
          <w:color w:val="00B0F0"/>
        </w:rPr>
        <w:t>Residual Tariff</w:t>
      </w:r>
    </w:p>
    <w:p w14:paraId="22FC5BFD" w14:textId="6B70EA19" w:rsidR="008A4333" w:rsidRDefault="03F8566B" w:rsidP="0003584B">
      <w:pPr>
        <w:pStyle w:val="Heading3"/>
        <w:keepNext/>
        <w:ind w:left="709"/>
        <w:rPr>
          <w:rFonts w:ascii="Arial (W1)" w:hAnsi="Arial (W1)"/>
        </w:rPr>
      </w:pPr>
      <w:r w:rsidRPr="325E90A3">
        <w:rPr>
          <w:rFonts w:ascii="Arial (W1)" w:hAnsi="Arial (W1)"/>
        </w:rPr>
        <w:t>The total revenue to be recovered through TNUoS</w:t>
      </w:r>
      <w:r w:rsidR="008A4333" w:rsidRPr="325E90A3">
        <w:rPr>
          <w:rFonts w:ascii="Arial (W1)" w:hAnsi="Arial (W1)"/>
        </w:rPr>
        <w:fldChar w:fldCharType="begin"/>
      </w:r>
      <w:r w:rsidR="008A4333" w:rsidRPr="325E90A3">
        <w:rPr>
          <w:rFonts w:ascii="Arial (W1)" w:hAnsi="Arial (W1)"/>
        </w:rPr>
        <w:instrText xml:space="preserve"> XE "TNUoS" </w:instrText>
      </w:r>
      <w:r w:rsidR="008A4333" w:rsidRPr="325E90A3">
        <w:rPr>
          <w:rFonts w:ascii="Arial (W1)" w:hAnsi="Arial (W1)"/>
        </w:rPr>
        <w:fldChar w:fldCharType="end"/>
      </w:r>
      <w:r w:rsidRPr="325E90A3">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(TRRt) is set  as follows:</w:t>
      </w:r>
    </w:p>
    <w:p w14:paraId="5E6F1991" w14:textId="3CD7DAF7" w:rsidR="00D05991" w:rsidRPr="009919C1" w:rsidRDefault="00D05991" w:rsidP="009919C1">
      <w:pPr>
        <w:pStyle w:val="Heading3"/>
        <w:keepNext/>
        <w:ind w:left="709"/>
        <w:jc w:val="center"/>
        <w:rPr>
          <w:rFonts w:ascii="Arial (W1)" w:hAnsi="Arial (W1)"/>
          <w:i/>
          <w:iCs/>
        </w:rPr>
      </w:pPr>
      <w:r w:rsidRPr="009919C1">
        <w:rPr>
          <w:rFonts w:ascii="Arial (W1)" w:hAnsi="Arial (W1)"/>
          <w:i/>
          <w:iCs/>
        </w:rPr>
        <w:t>TRR</w:t>
      </w:r>
      <w:r w:rsidRPr="009919C1">
        <w:rPr>
          <w:i/>
          <w:iCs/>
          <w:vertAlign w:val="subscript"/>
        </w:rPr>
        <w:t>t</w:t>
      </w:r>
      <w:r w:rsidRPr="009919C1">
        <w:rPr>
          <w:rFonts w:ascii="Arial (W1)" w:hAnsi="Arial (W1)"/>
          <w:i/>
          <w:iCs/>
        </w:rPr>
        <w:t xml:space="preserve"> = R</w:t>
      </w:r>
      <w:r w:rsidRPr="009919C1">
        <w:rPr>
          <w:i/>
          <w:iCs/>
          <w:vertAlign w:val="subscript"/>
        </w:rPr>
        <w:t>t</w:t>
      </w:r>
      <w:r w:rsidRPr="009919C1">
        <w:rPr>
          <w:rFonts w:ascii="Arial (W1)" w:hAnsi="Arial (W1)"/>
          <w:i/>
          <w:iCs/>
        </w:rPr>
        <w:t xml:space="preserve"> - PVC</w:t>
      </w:r>
      <w:r w:rsidRPr="009919C1">
        <w:rPr>
          <w:i/>
          <w:iCs/>
          <w:vertAlign w:val="subscript"/>
        </w:rPr>
        <w:t xml:space="preserve">t </w:t>
      </w:r>
    </w:p>
    <w:p w14:paraId="2F947BCE" w14:textId="14255ADA" w:rsidR="008A4333" w:rsidRPr="00AE1775" w:rsidRDefault="008A4333" w:rsidP="00AE1775">
      <w:pPr>
        <w:pStyle w:val="Heading3"/>
        <w:keepNext/>
        <w:ind w:left="709"/>
        <w:jc w:val="center"/>
        <w:rPr>
          <w:rFonts w:ascii="Arial (W1)" w:hAnsi="Arial (W1)"/>
        </w:rPr>
      </w:pPr>
    </w:p>
    <w:p w14:paraId="6E5E63ED" w14:textId="45D00BB7" w:rsidR="008A4333" w:rsidRDefault="008A4333" w:rsidP="008A4333">
      <w:pPr>
        <w:pStyle w:val="1"/>
        <w:ind w:firstLine="720"/>
        <w:jc w:val="both"/>
      </w:pPr>
      <w:r>
        <w:t>Where</w:t>
      </w:r>
    </w:p>
    <w:p w14:paraId="362C6FFD" w14:textId="13FE9584" w:rsidR="008A4333" w:rsidRDefault="008A4333" w:rsidP="008A4333">
      <w:pPr>
        <w:pStyle w:val="1"/>
        <w:tabs>
          <w:tab w:val="left" w:pos="1440"/>
        </w:tabs>
        <w:ind w:firstLine="720"/>
        <w:jc w:val="both"/>
      </w:pPr>
      <w:r>
        <w:t>TRR</w:t>
      </w:r>
      <w:r>
        <w:rPr>
          <w:vertAlign w:val="subscript"/>
        </w:rPr>
        <w:t xml:space="preserve">t </w:t>
      </w:r>
      <w:r>
        <w:rPr>
          <w:vertAlign w:val="subscript"/>
        </w:rPr>
        <w:tab/>
      </w:r>
      <w:r>
        <w:t>=</w:t>
      </w:r>
      <w:r>
        <w:tab/>
        <w:t>TNUoS</w:t>
      </w:r>
      <w:r>
        <w:fldChar w:fldCharType="begin"/>
      </w:r>
      <w:r>
        <w:instrText xml:space="preserve"> XE "TNUoS" </w:instrText>
      </w:r>
      <w:r>
        <w:fldChar w:fldCharType="end"/>
      </w:r>
      <w:r>
        <w:t xml:space="preserve"> Revenue Recovery target for year </w:t>
      </w:r>
      <w:r w:rsidR="0048371C" w:rsidRPr="03871E98">
        <w:rPr>
          <w:vertAlign w:val="subscript"/>
        </w:rPr>
        <w:t>t</w:t>
      </w:r>
      <w:r w:rsidR="00AE1775">
        <w:t>.</w:t>
      </w:r>
    </w:p>
    <w:p w14:paraId="61D0FE2C" w14:textId="0A468C70" w:rsidR="008A4333" w:rsidRDefault="03F8566B" w:rsidP="008A4333">
      <w:pPr>
        <w:pStyle w:val="1"/>
        <w:tabs>
          <w:tab w:val="left" w:pos="1440"/>
        </w:tabs>
        <w:ind w:left="2170" w:hanging="1461"/>
        <w:jc w:val="both"/>
      </w:pPr>
      <w:r>
        <w:t>R</w:t>
      </w:r>
      <w:r w:rsidRPr="325E90A3">
        <w:rPr>
          <w:i/>
          <w:iCs/>
          <w:vertAlign w:val="subscript"/>
        </w:rPr>
        <w:t>t</w:t>
      </w:r>
      <w:r w:rsidR="008A4333">
        <w:tab/>
      </w:r>
      <w:r>
        <w:t>=</w:t>
      </w:r>
      <w:r w:rsidR="008A4333">
        <w:tab/>
      </w:r>
      <w:r>
        <w:t xml:space="preserve">Forecast Revenue allowed under </w:t>
      </w:r>
      <w:r w:rsidR="4C0F0931" w:rsidRPr="325E90A3">
        <w:rPr>
          <w:b/>
          <w:bCs/>
        </w:rPr>
        <w:t>The Company</w:t>
      </w:r>
      <w:r w:rsidRPr="325E90A3">
        <w:rPr>
          <w:b/>
          <w:bCs/>
        </w:rPr>
        <w:t>’s</w:t>
      </w:r>
      <w:r>
        <w:t xml:space="preserve"> Price Control for year t (this term includes a number of adjustments, including for over/under recovery from the previous year).  For further information, refer to </w:t>
      </w:r>
      <w:r w:rsidR="00CB4D34">
        <w:t>c</w:t>
      </w:r>
      <w:r w:rsidR="0C11B37C">
        <w:t xml:space="preserve">ondition F3 </w:t>
      </w:r>
      <w:r>
        <w:t xml:space="preserve">of </w:t>
      </w:r>
      <w:r w:rsidR="002C242E">
        <w:t>the</w:t>
      </w:r>
      <w:r w:rsidR="4C0F0931" w:rsidRPr="325E90A3">
        <w:rPr>
          <w:b/>
          <w:bCs/>
        </w:rPr>
        <w:t xml:space="preserve"> </w:t>
      </w:r>
      <w:r w:rsidR="27534EF8" w:rsidRPr="325E90A3">
        <w:rPr>
          <w:b/>
          <w:bCs/>
        </w:rPr>
        <w:t>ESO</w:t>
      </w:r>
      <w:r w:rsidR="00CB4D34">
        <w:t xml:space="preserve"> </w:t>
      </w:r>
      <w:r w:rsidRPr="009919C1">
        <w:rPr>
          <w:b/>
          <w:bCs/>
        </w:rPr>
        <w:t>Licence</w:t>
      </w:r>
      <w:r>
        <w:t>.</w:t>
      </w:r>
    </w:p>
    <w:p w14:paraId="29B3BFD8" w14:textId="77777777" w:rsidR="008A4333" w:rsidRDefault="008A4333" w:rsidP="008A4333">
      <w:pPr>
        <w:pStyle w:val="1"/>
        <w:tabs>
          <w:tab w:val="left" w:pos="1440"/>
        </w:tabs>
        <w:ind w:left="1440" w:hanging="720"/>
        <w:jc w:val="both"/>
      </w:pPr>
      <w:r>
        <w:t>PVC</w:t>
      </w:r>
      <w:r>
        <w:rPr>
          <w:i/>
          <w:vertAlign w:val="subscript"/>
        </w:rPr>
        <w:t>t</w:t>
      </w:r>
      <w:r>
        <w:rPr>
          <w:i/>
          <w:vertAlign w:val="subscript"/>
        </w:rPr>
        <w:tab/>
      </w:r>
      <w:r>
        <w:t>=</w:t>
      </w:r>
      <w:r>
        <w:tab/>
        <w:t>Forecast Revenue from Pre-Vesting connection charges for year t</w:t>
      </w:r>
    </w:p>
    <w:p w14:paraId="268A8618" w14:textId="77777777" w:rsidR="00A35D8E" w:rsidRDefault="00A35D8E" w:rsidP="008A4333">
      <w:pPr>
        <w:pStyle w:val="1"/>
        <w:tabs>
          <w:tab w:val="left" w:pos="1440"/>
        </w:tabs>
        <w:ind w:left="1440" w:hanging="720"/>
        <w:jc w:val="both"/>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a number of factors.  For example, the transport model</w:t>
      </w:r>
      <w:r>
        <w:fldChar w:fldCharType="begin"/>
      </w:r>
      <w:r>
        <w:instrText xml:space="preserve"> XE "transport model" </w:instrText>
      </w:r>
      <w:r>
        <w:fldChar w:fldCharType="end"/>
      </w:r>
      <w:r>
        <w:t xml:space="preserve"> assumes, for simplicity, smooth incremental transmission investments can be made. In reality, transmission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As a result of the factors above, in order to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r w:rsidRPr="003D5CCF">
        <w:rPr>
          <w:rFonts w:ascii="Arial" w:hAnsi="Arial" w:cs="Arial"/>
        </w:rPr>
        <w:t>Where</w:t>
      </w:r>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r w:rsidRPr="00CD5631">
        <w:rPr>
          <w:rFonts w:ascii="Arial" w:hAnsi="Arial" w:cs="Arial"/>
        </w:rPr>
        <w:t>AdjRevenue</w:t>
      </w:r>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r w:rsidRPr="008F30A4">
        <w:rPr>
          <w:rFonts w:ascii="Arial" w:hAnsi="Arial" w:cs="Arial"/>
          <w:sz w:val="22"/>
          <w:lang w:eastAsia="en-US"/>
        </w:rPr>
        <w:t>and;</w:t>
      </w:r>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1"/>
        <w:gridCol w:w="5474"/>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248"/>
    <w:bookmarkEnd w:id="249"/>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250" w:name="_Toc32201079"/>
      <w:bookmarkStart w:id="251" w:name="_Toc49661116"/>
      <w:bookmarkStart w:id="252" w:name="_Toc274049693"/>
      <w:r>
        <w:t>Final £/kW Tariff</w:t>
      </w:r>
      <w:bookmarkEnd w:id="250"/>
      <w:bookmarkEnd w:id="251"/>
      <w:bookmarkEnd w:id="252"/>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s for Peak Security and Year Round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Year Round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000000"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r w:rsidRPr="00AB4296">
        <w:rPr>
          <w:rFonts w:ascii="Arial" w:hAnsi="Arial" w:cs="Arial"/>
        </w:rPr>
        <w:t>Where</w:t>
      </w:r>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(ET</w:t>
      </w:r>
      <w:r w:rsidR="00B56030" w:rsidRPr="00EE1E4B">
        <w:rPr>
          <w:rFonts w:ascii="Arial" w:hAnsi="Arial"/>
          <w:sz w:val="22"/>
          <w:vertAlign w:val="subscript"/>
        </w:rPr>
        <w:t>Gi</w:t>
      </w:r>
      <w:r w:rsidR="00B56030">
        <w:rPr>
          <w:rFonts w:ascii="Arial" w:hAnsi="Arial"/>
          <w:sz w:val="22"/>
        </w:rPr>
        <w:t xml:space="preserve"> would only be applicable to a Power Station with a PS flag of 1 and ALF of 1; in all other circumstances ITT</w:t>
      </w:r>
      <w:r w:rsidR="00B56030" w:rsidRPr="00EE1E4B">
        <w:rPr>
          <w:rFonts w:ascii="Arial" w:hAnsi="Arial"/>
          <w:sz w:val="22"/>
          <w:vertAlign w:val="subscript"/>
        </w:rPr>
        <w:t>GiP</w:t>
      </w:r>
      <w:r w:rsidR="00B56030" w:rsidRPr="00B56030">
        <w:rPr>
          <w:rFonts w:ascii="Arial" w:hAnsi="Arial"/>
          <w:sz w:val="22"/>
          <w:vertAlign w:val="subscript"/>
        </w:rPr>
        <w:t>S</w:t>
      </w:r>
      <w:r w:rsidR="00B56030" w:rsidRPr="000B6C0D">
        <w:rPr>
          <w:rFonts w:ascii="Arial" w:hAnsi="Arial"/>
          <w:sz w:val="22"/>
        </w:rPr>
        <w:t>, ITT</w:t>
      </w:r>
      <w:r w:rsidR="00B56030" w:rsidRPr="000B6C0D">
        <w:rPr>
          <w:rFonts w:ascii="Arial" w:hAnsi="Arial"/>
          <w:sz w:val="22"/>
          <w:vertAlign w:val="subscript"/>
        </w:rPr>
        <w:t>GiYRNS</w:t>
      </w:r>
      <w:r w:rsidR="00B56030" w:rsidRPr="000B6C0D">
        <w:rPr>
          <w:rFonts w:ascii="Arial" w:hAnsi="Arial"/>
          <w:sz w:val="22"/>
        </w:rPr>
        <w:t xml:space="preserve"> and ITT</w:t>
      </w:r>
      <w:r w:rsidR="00B56030" w:rsidRPr="000B6C0D">
        <w:rPr>
          <w:rFonts w:ascii="Arial" w:hAnsi="Arial"/>
          <w:sz w:val="22"/>
          <w:vertAlign w:val="subscript"/>
        </w:rPr>
        <w:t>GiYRS</w:t>
      </w:r>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r w:rsidRPr="00C62E57">
        <w:rPr>
          <w:rFonts w:ascii="Arial" w:hAnsi="Arial"/>
          <w:sz w:val="22"/>
        </w:rPr>
        <w:t>AdjTariff</w:t>
      </w:r>
      <w:r w:rsidRPr="00C62E57">
        <w:rPr>
          <w:rFonts w:ascii="Arial" w:hAnsi="Arial"/>
          <w:sz w:val="22"/>
          <w:vertAlign w:val="subscript"/>
        </w:rPr>
        <w:t>i</w:t>
      </w:r>
      <w:r w:rsidRPr="00C62E57">
        <w:rPr>
          <w:rFonts w:ascii="Arial" w:hAnsi="Arial"/>
          <w:sz w:val="22"/>
        </w:rPr>
        <w:t xml:space="preserve"> = </w:t>
      </w:r>
      <w:r w:rsidRPr="00C62E57">
        <w:rPr>
          <w:rFonts w:ascii="Arial" w:hAnsi="Arial"/>
          <w:sz w:val="22"/>
        </w:rPr>
        <w:tab/>
      </w:r>
      <w:r w:rsidRPr="00C62E57">
        <w:rPr>
          <w:rFonts w:ascii="Arial" w:hAnsi="Arial"/>
          <w:sz w:val="22"/>
        </w:rPr>
        <w:tab/>
        <w:t>AdjTariff (from 14.14.5) applicable in time period ‘i’.</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000000"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r w:rsidRPr="009F2380">
        <w:rPr>
          <w:rFonts w:ascii="Arial" w:hAnsi="Arial" w:cs="Arial"/>
        </w:rPr>
        <w:t>Where</w:t>
      </w:r>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EE</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For the purposes of the annual Statement of Use of System Charges ET</w:t>
      </w:r>
      <w:r w:rsidRPr="007579AE">
        <w:rPr>
          <w:rFonts w:ascii="Arial" w:hAnsi="Arial"/>
          <w:sz w:val="22"/>
          <w:vertAlign w:val="subscript"/>
        </w:rPr>
        <w:t>Gi</w:t>
      </w:r>
      <w:r>
        <w:rPr>
          <w:rFonts w:ascii="Arial" w:hAnsi="Arial"/>
          <w:sz w:val="22"/>
        </w:rPr>
        <w:t xml:space="preserve"> will be published as </w:t>
      </w:r>
      <w:r w:rsidRPr="00B56030">
        <w:rPr>
          <w:rFonts w:ascii="Arial" w:hAnsi="Arial"/>
          <w:sz w:val="22"/>
        </w:rPr>
        <w:t>ITT</w:t>
      </w:r>
      <w:r w:rsidRPr="00B56030">
        <w:rPr>
          <w:rFonts w:ascii="Arial" w:hAnsi="Arial"/>
          <w:sz w:val="22"/>
          <w:vertAlign w:val="subscript"/>
        </w:rPr>
        <w:t>GiPS</w:t>
      </w:r>
      <w:r w:rsidRPr="000B6C0D">
        <w:rPr>
          <w:rFonts w:ascii="Arial" w:hAnsi="Arial"/>
          <w:sz w:val="22"/>
        </w:rPr>
        <w:t>; ITT</w:t>
      </w:r>
      <w:r w:rsidRPr="000B6C0D">
        <w:rPr>
          <w:rFonts w:ascii="Arial" w:hAnsi="Arial"/>
          <w:sz w:val="22"/>
          <w:vertAlign w:val="subscript"/>
        </w:rPr>
        <w:t>GiYRNS</w:t>
      </w:r>
      <w:r w:rsidRPr="000B6C0D">
        <w:rPr>
          <w:rFonts w:ascii="Arial" w:hAnsi="Arial"/>
          <w:sz w:val="22"/>
        </w:rPr>
        <w:t>, ITT</w:t>
      </w:r>
      <w:r w:rsidRPr="000B6C0D">
        <w:rPr>
          <w:rFonts w:ascii="Arial" w:hAnsi="Arial"/>
          <w:sz w:val="22"/>
          <w:vertAlign w:val="subscript"/>
        </w:rPr>
        <w:t>GiYRS,</w:t>
      </w:r>
      <w:r>
        <w:rPr>
          <w:rFonts w:ascii="Arial" w:hAnsi="Arial"/>
          <w:sz w:val="22"/>
          <w:vertAlign w:val="subscript"/>
        </w:rPr>
        <w:t xml:space="preserve"> </w:t>
      </w:r>
      <w:r>
        <w:rPr>
          <w:rFonts w:ascii="Arial" w:hAnsi="Arial"/>
          <w:sz w:val="22"/>
        </w:rPr>
        <w:t>LT</w:t>
      </w:r>
      <w:r w:rsidRPr="00EA7EDB">
        <w:rPr>
          <w:rFonts w:ascii="Arial" w:hAnsi="Arial"/>
          <w:sz w:val="22"/>
          <w:vertAlign w:val="subscript"/>
        </w:rPr>
        <w:t>Gi</w:t>
      </w:r>
      <w:r>
        <w:rPr>
          <w:rFonts w:ascii="Arial" w:hAnsi="Arial"/>
          <w:sz w:val="22"/>
          <w:vertAlign w:val="subscript"/>
        </w:rPr>
        <w:t xml:space="preserve">  </w:t>
      </w:r>
      <w:r w:rsidR="00C62E57">
        <w:rPr>
          <w:rFonts w:ascii="Arial" w:hAnsi="Arial"/>
          <w:sz w:val="22"/>
        </w:rPr>
        <w:t>and AdjTariff</w:t>
      </w:r>
      <w:r w:rsidR="00C62E57" w:rsidRPr="008B5A73">
        <w:rPr>
          <w:rFonts w:ascii="Arial" w:hAnsi="Arial"/>
          <w:sz w:val="22"/>
          <w:vertAlign w:val="subscript"/>
        </w:rPr>
        <w:t>i</w:t>
      </w:r>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mid way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Note: The ET</w:t>
      </w:r>
      <w:r w:rsidRPr="00215B08">
        <w:rPr>
          <w:vertAlign w:val="subscript"/>
        </w:rPr>
        <w:t>Gi</w:t>
      </w:r>
      <w:r>
        <w:t xml:space="preserve"> element used in the formula above will be based on an individual Power Stations PS flag and ALF for Power Station G</w:t>
      </w:r>
      <w:r w:rsidRPr="00215B08">
        <w:rPr>
          <w:vertAlign w:val="subscript"/>
        </w:rPr>
        <w:t>Gi</w:t>
      </w:r>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TNUoS Tariff results in a negative number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r>
        <w:rPr>
          <w:rFonts w:ascii="Arial" w:hAnsi="Arial"/>
          <w:i/>
        </w:rPr>
        <w:t>i</w:t>
      </w:r>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t xml:space="preserve">Therefore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r>
        <w:rPr>
          <w:rFonts w:ascii="Arial" w:hAnsi="Arial"/>
          <w:sz w:val="22"/>
        </w:rPr>
        <w:t>Where</w:t>
      </w:r>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t>Non Recovered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RFT</w:t>
      </w:r>
      <w:r>
        <w:rPr>
          <w:rFonts w:ascii="Arial" w:hAnsi="Arial"/>
          <w:i/>
          <w:sz w:val="22"/>
          <w:vertAlign w:val="subscript"/>
        </w:rPr>
        <w:t>Di</w:t>
      </w:r>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If the Connection Site falls within a GSP Group’s geographic area, the new GSP that connects directly at the site will be assigned to the demand zone corresponding to the GSP Group, unless;</w:t>
      </w:r>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The factors which will affect the level of TNUoS charges from year to year include</w:t>
      </w:r>
      <w:r w:rsidR="00010EB2">
        <w:t xml:space="preserve"> but are not limited to</w:t>
      </w:r>
      <w:r w:rsidR="00B56030">
        <w:t>-;</w:t>
      </w:r>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TNUoS charges but would not, on the basis of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253" w:name="_Toc274049694"/>
      <w:r w:rsidRPr="007B2988">
        <w:t>Stability &amp; Predictability of TNUoS tariffs</w:t>
      </w:r>
      <w:bookmarkEnd w:id="253"/>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r w:rsidRPr="007B2988">
        <w:t xml:space="preserve">A number of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Demand tariffs for Demand Users directly connected to the NETS at GSPs that connect to more than one demand zone, will be derived from averages of the Peak Security and Year Round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58275"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58275"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As demand C connects at a Connection Site consisting of connections to more than one demand zone, for the purpose of DCLF Transport modelling and calculation of demand zonal tariffs, demand C is spread evenly across the multiple GSP Groups (A and B). Therefore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Similarly, the zonal Year Round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Once the zonal Peak Security and Year Round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Year Round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254" w:name="_Toc32201081"/>
      <w:bookmarkStart w:id="255"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xml:space="preserve">, starting at (i)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14.15.137;</w:t>
      </w:r>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r w:rsidRPr="00350AA3">
        <w:rPr>
          <w:rFonts w:ascii="Arial" w:hAnsi="Arial" w:cs="Arial"/>
          <w:lang w:val="en-US"/>
        </w:rPr>
        <w:t>;</w:t>
      </w:r>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or;</w:t>
      </w:r>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or;</w:t>
      </w:r>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14.15.142  shall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unless;</w:t>
      </w:r>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it shall;</w:t>
      </w:r>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a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256"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256"/>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a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257"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257"/>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422EC45E" w14:textId="7D4D73C4" w:rsidR="00414AB2" w:rsidRDefault="00414AB2" w:rsidP="00F611EC">
      <w:pPr>
        <w:ind w:left="1276" w:hanging="1276"/>
        <w:jc w:val="both"/>
        <w:rPr>
          <w:rFonts w:ascii="Arial" w:hAnsi="Arial" w:cs="Arial"/>
          <w:b/>
          <w:bCs/>
          <w:sz w:val="22"/>
          <w:szCs w:val="22"/>
          <w:u w:val="single"/>
        </w:rPr>
      </w:pPr>
      <w:r w:rsidRPr="00F611EC">
        <w:rPr>
          <w:rFonts w:ascii="Arial" w:hAnsi="Arial" w:cs="Arial"/>
          <w:b/>
          <w:bCs/>
          <w:sz w:val="22"/>
          <w:szCs w:val="22"/>
          <w:u w:val="single"/>
        </w:rPr>
        <w:t>14.15.1</w:t>
      </w:r>
      <w:r w:rsidR="00EE1BA9">
        <w:rPr>
          <w:rFonts w:ascii="Arial" w:hAnsi="Arial" w:cs="Arial"/>
          <w:b/>
          <w:bCs/>
          <w:sz w:val="22"/>
          <w:szCs w:val="22"/>
          <w:u w:val="single"/>
        </w:rPr>
        <w:t>56</w:t>
      </w:r>
      <w:r w:rsidR="003C7839">
        <w:rPr>
          <w:rFonts w:ascii="Arial" w:hAnsi="Arial" w:cs="Arial"/>
          <w:b/>
          <w:bCs/>
          <w:sz w:val="22"/>
          <w:szCs w:val="22"/>
          <w:u w:val="single"/>
        </w:rPr>
        <w:tab/>
      </w:r>
      <w:r w:rsidRPr="00F611EC">
        <w:rPr>
          <w:rFonts w:ascii="Arial" w:hAnsi="Arial" w:cs="Arial"/>
          <w:b/>
          <w:bCs/>
          <w:sz w:val="22"/>
          <w:szCs w:val="22"/>
          <w:u w:val="single"/>
        </w:rPr>
        <w:t>Anticipatory Investment</w:t>
      </w:r>
    </w:p>
    <w:p w14:paraId="2BDA9933" w14:textId="77777777" w:rsidR="008B5963" w:rsidRPr="00F611EC" w:rsidRDefault="008B5963" w:rsidP="00F611EC">
      <w:pPr>
        <w:ind w:left="1276" w:hanging="1276"/>
        <w:jc w:val="both"/>
        <w:rPr>
          <w:rFonts w:ascii="Arial" w:hAnsi="Arial" w:cs="Arial"/>
          <w:b/>
          <w:bCs/>
          <w:sz w:val="22"/>
          <w:szCs w:val="22"/>
          <w:u w:val="single"/>
        </w:rPr>
      </w:pPr>
    </w:p>
    <w:p w14:paraId="1730215E" w14:textId="1F5F2BCD" w:rsidR="00414AB2" w:rsidRDefault="00414AB2" w:rsidP="00F611EC">
      <w:pPr>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.1</w:t>
      </w:r>
      <w:r w:rsidRPr="00F611EC">
        <w:rPr>
          <w:rFonts w:ascii="Arial" w:hAnsi="Arial" w:cs="Arial"/>
          <w:sz w:val="22"/>
          <w:szCs w:val="22"/>
        </w:rPr>
        <w:tab/>
      </w:r>
      <w:r w:rsidRPr="00F611EC">
        <w:rPr>
          <w:rFonts w:ascii="Arial" w:hAnsi="Arial" w:cs="Arial"/>
          <w:b/>
          <w:bCs/>
          <w:sz w:val="22"/>
          <w:szCs w:val="22"/>
        </w:rPr>
        <w:t>Anticipatory Investment</w:t>
      </w:r>
      <w:r w:rsidRPr="00F611EC">
        <w:rPr>
          <w:rFonts w:ascii="Arial" w:hAnsi="Arial" w:cs="Arial"/>
          <w:sz w:val="22"/>
          <w:szCs w:val="22"/>
        </w:rPr>
        <w:t xml:space="preserve"> (AI) is </w:t>
      </w:r>
      <w:r w:rsidRPr="00F611EC">
        <w:rPr>
          <w:rStyle w:val="ui-provider"/>
          <w:rFonts w:ascii="Arial" w:hAnsi="Arial" w:cs="Arial"/>
          <w:sz w:val="22"/>
          <w:szCs w:val="22"/>
        </w:rPr>
        <w:t xml:space="preserve">investment in transmission assets which goes beyond the needs of the immediate offshore development or developments. </w:t>
      </w:r>
      <w:r w:rsidRPr="00F611EC">
        <w:rPr>
          <w:rFonts w:ascii="Arial" w:hAnsi="Arial" w:cs="Arial"/>
          <w:sz w:val="22"/>
          <w:szCs w:val="22"/>
        </w:rPr>
        <w:t xml:space="preserve">Where </w:t>
      </w:r>
      <w:r w:rsidRPr="00F611EC">
        <w:rPr>
          <w:rFonts w:ascii="Arial" w:hAnsi="Arial" w:cs="Arial"/>
          <w:b/>
          <w:bCs/>
          <w:sz w:val="22"/>
          <w:szCs w:val="22"/>
        </w:rPr>
        <w:t>Anticipatory Investment</w:t>
      </w:r>
      <w:r w:rsidRPr="00F611EC">
        <w:rPr>
          <w:rFonts w:ascii="Arial" w:hAnsi="Arial" w:cs="Arial"/>
          <w:sz w:val="22"/>
          <w:szCs w:val="22"/>
        </w:rPr>
        <w:t xml:space="preserve"> has been identified by the Authority, the generators’ Offshore local tariff will be calculated as per 14.15.121, and 14.15.129 – 14.15.134, but will utilise their individual generation connected and their proportion (AI or non-AI) of the OFTO revenue, Network Export Capacity, and asset ratings rather than those of the total project.</w:t>
      </w:r>
    </w:p>
    <w:p w14:paraId="7DA19419" w14:textId="77777777" w:rsidR="008B5963" w:rsidRPr="00F611EC" w:rsidRDefault="008B5963" w:rsidP="00F611EC">
      <w:pPr>
        <w:ind w:left="1276" w:hanging="1276"/>
        <w:jc w:val="both"/>
        <w:rPr>
          <w:rFonts w:ascii="Arial" w:hAnsi="Arial" w:cs="Arial"/>
          <w:sz w:val="22"/>
          <w:szCs w:val="22"/>
        </w:rPr>
      </w:pPr>
    </w:p>
    <w:p w14:paraId="2C7CD71C" w14:textId="21202C38" w:rsidR="00414AB2" w:rsidRPr="00F611EC" w:rsidRDefault="00414AB2" w:rsidP="00F611EC">
      <w:pPr>
        <w:spacing w:after="240"/>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.2</w:t>
      </w:r>
      <w:r w:rsidRPr="00F611EC">
        <w:rPr>
          <w:rFonts w:ascii="Arial" w:hAnsi="Arial" w:cs="Arial"/>
          <w:sz w:val="22"/>
          <w:szCs w:val="22"/>
        </w:rPr>
        <w:tab/>
        <w:t xml:space="preserve">Any generator(s) connected to the </w:t>
      </w:r>
      <w:r w:rsidRPr="00F611EC">
        <w:rPr>
          <w:rFonts w:ascii="Arial" w:hAnsi="Arial" w:cs="Arial"/>
          <w:b/>
          <w:bCs/>
          <w:sz w:val="22"/>
          <w:szCs w:val="22"/>
        </w:rPr>
        <w:t>Offshore Transmission System</w:t>
      </w:r>
      <w:r w:rsidRPr="00F611EC">
        <w:rPr>
          <w:rFonts w:ascii="Arial" w:hAnsi="Arial" w:cs="Arial"/>
          <w:sz w:val="22"/>
          <w:szCs w:val="22"/>
        </w:rPr>
        <w:t xml:space="preserve"> at the point of asset transfer to the OFTO, will become liable for Offshore local tariffs for the non-AI portion of the OFTO revenue. Any subsequent generator(s) will become liable for Offshore local tariffs for the AI portion of the OFTO revenue at the point of connection.</w:t>
      </w:r>
    </w:p>
    <w:p w14:paraId="4C551D58" w14:textId="6A4D2487"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.3</w:t>
      </w:r>
      <w:r w:rsidRPr="00F611EC">
        <w:rPr>
          <w:rFonts w:ascii="Arial" w:hAnsi="Arial" w:cs="Arial"/>
          <w:sz w:val="22"/>
          <w:szCs w:val="22"/>
        </w:rPr>
        <w:tab/>
        <w:t xml:space="preserve">During the period between the </w:t>
      </w:r>
      <w:r w:rsidRPr="00F611EC">
        <w:rPr>
          <w:rFonts w:ascii="Arial" w:hAnsi="Arial" w:cs="Arial"/>
          <w:b/>
          <w:bCs/>
          <w:sz w:val="22"/>
          <w:szCs w:val="22"/>
        </w:rPr>
        <w:t>Offshore Transmission System</w:t>
      </w:r>
      <w:r w:rsidRPr="00F611EC">
        <w:rPr>
          <w:rFonts w:ascii="Arial" w:hAnsi="Arial" w:cs="Arial"/>
          <w:sz w:val="22"/>
          <w:szCs w:val="22"/>
        </w:rPr>
        <w:t xml:space="preserve"> being transferred to the OFTO and the subsequent generator(s) connecting, the AI portion of the OFTO revenue cannot be recovered from the subsequent generator(s). The difference between what is payable to the OFTO but cannot be recovered from the subsequent generator(s) is referred to as the ‘AI Cost Gap</w:t>
      </w:r>
      <w:r w:rsidRPr="00F611EC">
        <w:rPr>
          <w:rFonts w:ascii="Arial" w:hAnsi="Arial" w:cs="Arial"/>
          <w:b/>
          <w:bCs/>
          <w:sz w:val="22"/>
          <w:szCs w:val="22"/>
        </w:rPr>
        <w:t>.</w:t>
      </w:r>
      <w:r w:rsidRPr="00F611EC">
        <w:rPr>
          <w:rFonts w:ascii="Arial" w:hAnsi="Arial" w:cs="Arial"/>
          <w:sz w:val="22"/>
          <w:szCs w:val="22"/>
        </w:rPr>
        <w:t>’</w:t>
      </w:r>
    </w:p>
    <w:p w14:paraId="4CDF54C5" w14:textId="77777777" w:rsidR="008B5963" w:rsidRPr="00F611EC" w:rsidRDefault="008B5963" w:rsidP="00F611EC">
      <w:pPr>
        <w:spacing w:line="252" w:lineRule="auto"/>
        <w:ind w:left="1276" w:hanging="1276"/>
        <w:jc w:val="both"/>
        <w:rPr>
          <w:rFonts w:ascii="Arial" w:hAnsi="Arial" w:cs="Arial"/>
          <w:sz w:val="22"/>
          <w:szCs w:val="22"/>
        </w:rPr>
      </w:pPr>
    </w:p>
    <w:p w14:paraId="7853A071" w14:textId="2C7F341F"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.4</w:t>
      </w:r>
      <w:r w:rsidRPr="00F611EC">
        <w:rPr>
          <w:rFonts w:ascii="Arial" w:hAnsi="Arial" w:cs="Arial"/>
          <w:sz w:val="22"/>
          <w:szCs w:val="22"/>
        </w:rPr>
        <w:tab/>
        <w:t xml:space="preserve">Prior to the subsequent generator(s) connecting, the AI Cost Gap will be recovered from demand customers via the </w:t>
      </w:r>
      <w:r w:rsidRPr="00F611EC">
        <w:rPr>
          <w:rFonts w:ascii="Arial" w:hAnsi="Arial" w:cs="Arial"/>
          <w:b/>
          <w:bCs/>
          <w:sz w:val="22"/>
          <w:szCs w:val="22"/>
        </w:rPr>
        <w:t>Transmission Demand Residual</w:t>
      </w:r>
      <w:r w:rsidRPr="00F611EC">
        <w:rPr>
          <w:rFonts w:ascii="Arial" w:hAnsi="Arial" w:cs="Arial"/>
          <w:sz w:val="22"/>
          <w:szCs w:val="22"/>
        </w:rPr>
        <w:t>. The AI Cost Gap will be repaid to demand customers by the subsequent generator(s), once connected to the transmission system, either:</w:t>
      </w:r>
    </w:p>
    <w:p w14:paraId="695DE5D5" w14:textId="77777777" w:rsidR="008B5963" w:rsidRPr="00F611EC" w:rsidRDefault="008B5963" w:rsidP="00F611EC">
      <w:pPr>
        <w:spacing w:line="252" w:lineRule="auto"/>
        <w:jc w:val="both"/>
        <w:rPr>
          <w:rFonts w:ascii="Arial" w:hAnsi="Arial" w:cs="Arial"/>
          <w:sz w:val="22"/>
          <w:szCs w:val="22"/>
        </w:rPr>
      </w:pPr>
    </w:p>
    <w:p w14:paraId="3B3F0956" w14:textId="77777777" w:rsidR="00414AB2" w:rsidRDefault="00414AB2" w:rsidP="00F611EC">
      <w:pPr>
        <w:pStyle w:val="ListParagraph"/>
        <w:numPr>
          <w:ilvl w:val="0"/>
          <w:numId w:val="135"/>
        </w:numPr>
        <w:spacing w:line="252" w:lineRule="auto"/>
        <w:ind w:left="1800"/>
        <w:contextualSpacing/>
        <w:jc w:val="both"/>
        <w:rPr>
          <w:rFonts w:ascii="Arial" w:hAnsi="Arial" w:cs="Arial"/>
          <w:sz w:val="22"/>
          <w:szCs w:val="22"/>
        </w:rPr>
      </w:pPr>
      <w:r w:rsidRPr="00F611EC">
        <w:rPr>
          <w:rFonts w:ascii="Arial" w:hAnsi="Arial" w:cs="Arial"/>
          <w:sz w:val="22"/>
          <w:szCs w:val="22"/>
        </w:rPr>
        <w:t>Through the AI Cost Gap Tariff. This tariff will be applied over a period of time equal to the number of days for which the subsequent generator(s) share of the AI Cost Gap was accrued, rounded up to a whole number of years, in addition to the number of days remaining in the charging year in which the subsequent generator(s) connects (if it connects after the first day of a charging year); or</w:t>
      </w:r>
    </w:p>
    <w:p w14:paraId="3D01BF14" w14:textId="77777777" w:rsidR="008B5963" w:rsidRPr="00F611EC" w:rsidRDefault="008B5963" w:rsidP="00F611EC">
      <w:pPr>
        <w:spacing w:line="252" w:lineRule="auto"/>
        <w:ind w:left="1440"/>
        <w:contextualSpacing/>
        <w:jc w:val="both"/>
        <w:rPr>
          <w:rFonts w:ascii="Arial" w:hAnsi="Arial" w:cs="Arial"/>
          <w:sz w:val="22"/>
          <w:szCs w:val="22"/>
        </w:rPr>
      </w:pPr>
    </w:p>
    <w:p w14:paraId="7C55EC80" w14:textId="77777777" w:rsidR="00414AB2" w:rsidRPr="00F611EC" w:rsidRDefault="00414AB2" w:rsidP="00F611EC">
      <w:pPr>
        <w:pStyle w:val="ListParagraph"/>
        <w:numPr>
          <w:ilvl w:val="0"/>
          <w:numId w:val="135"/>
        </w:numPr>
        <w:spacing w:before="120" w:after="160" w:line="252" w:lineRule="auto"/>
        <w:ind w:left="1800"/>
        <w:contextualSpacing/>
        <w:jc w:val="both"/>
        <w:rPr>
          <w:rFonts w:ascii="Arial" w:hAnsi="Arial" w:cs="Arial"/>
          <w:sz w:val="22"/>
          <w:szCs w:val="22"/>
        </w:rPr>
      </w:pPr>
      <w:r w:rsidRPr="00F611EC">
        <w:rPr>
          <w:rFonts w:ascii="Arial" w:hAnsi="Arial" w:cs="Arial"/>
          <w:sz w:val="22"/>
          <w:szCs w:val="22"/>
        </w:rPr>
        <w:t>alternatively, if decided by the generator(s), be paid via one payment in the charging year in which the subsequent generator(s) connects.</w:t>
      </w:r>
    </w:p>
    <w:p w14:paraId="075ED68D" w14:textId="2EBA8BEC" w:rsidR="00414AB2" w:rsidRDefault="00414AB2" w:rsidP="00F611EC">
      <w:pPr>
        <w:spacing w:line="252" w:lineRule="auto"/>
        <w:ind w:left="1276" w:hanging="1418"/>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.5</w:t>
      </w:r>
      <w:r w:rsidRPr="00F611EC">
        <w:rPr>
          <w:rFonts w:ascii="Arial" w:hAnsi="Arial" w:cs="Arial"/>
          <w:b/>
          <w:bCs/>
          <w:i/>
          <w:iCs/>
          <w:sz w:val="22"/>
          <w:szCs w:val="22"/>
        </w:rPr>
        <w:tab/>
      </w:r>
      <w:r w:rsidRPr="00F611EC">
        <w:rPr>
          <w:rFonts w:ascii="Arial" w:hAnsi="Arial" w:cs="Arial"/>
          <w:i/>
          <w:iCs/>
          <w:sz w:val="22"/>
          <w:szCs w:val="22"/>
        </w:rPr>
        <w:t>Calculating</w:t>
      </w:r>
      <w:r w:rsidRPr="00F611EC">
        <w:rPr>
          <w:rFonts w:ascii="Arial" w:hAnsi="Arial" w:cs="Arial"/>
          <w:i/>
          <w:sz w:val="22"/>
          <w:szCs w:val="22"/>
        </w:rPr>
        <w:t xml:space="preserve"> the AI Cost Gap</w:t>
      </w:r>
      <w:r w:rsidRPr="00F611EC">
        <w:rPr>
          <w:rFonts w:ascii="Arial" w:hAnsi="Arial" w:cs="Arial"/>
          <w:b/>
          <w:bCs/>
          <w:sz w:val="22"/>
          <w:szCs w:val="22"/>
        </w:rPr>
        <w:t>:</w:t>
      </w:r>
      <w:r w:rsidRPr="00F611EC">
        <w:rPr>
          <w:rFonts w:ascii="Arial" w:hAnsi="Arial" w:cs="Arial"/>
          <w:sz w:val="22"/>
          <w:szCs w:val="22"/>
        </w:rPr>
        <w:t xml:space="preserve"> The AI proportion of OFTO revenue associated to the subsequent generator(s), will be identified for each full or partial charging year prior to the subsequent generator(s) connecting. Each year’s value will be inflated in line with the average increase in May – October CPIH as described in 14.15.1</w:t>
      </w:r>
      <w:r w:rsidR="00EE1BA9">
        <w:rPr>
          <w:rFonts w:ascii="Arial" w:hAnsi="Arial" w:cs="Arial"/>
          <w:sz w:val="22"/>
          <w:szCs w:val="22"/>
        </w:rPr>
        <w:t>56</w:t>
      </w:r>
      <w:r w:rsidRPr="00F611EC">
        <w:rPr>
          <w:rFonts w:ascii="Arial" w:hAnsi="Arial" w:cs="Arial"/>
          <w:sz w:val="22"/>
          <w:szCs w:val="22"/>
        </w:rPr>
        <w:t>.6, to ensure it is in the appropriate price base for the year the AI Cost Gap Tariff becomes applicable. The total of these values will be the AI Cost Gap.</w:t>
      </w:r>
    </w:p>
    <w:p w14:paraId="18D6AC44" w14:textId="77777777" w:rsidR="008B5963" w:rsidRPr="00F611EC" w:rsidRDefault="008B5963" w:rsidP="00F611EC">
      <w:pPr>
        <w:spacing w:line="252" w:lineRule="auto"/>
        <w:ind w:left="1418" w:hanging="1418"/>
        <w:jc w:val="both"/>
        <w:rPr>
          <w:rFonts w:ascii="Arial" w:hAnsi="Arial" w:cs="Arial"/>
          <w:sz w:val="22"/>
          <w:szCs w:val="22"/>
        </w:rPr>
      </w:pPr>
    </w:p>
    <w:p w14:paraId="5C599000" w14:textId="4596966E" w:rsidR="00414AB2" w:rsidRPr="00F611EC" w:rsidRDefault="00414AB2" w:rsidP="00F611EC">
      <w:pPr>
        <w:spacing w:line="252" w:lineRule="auto"/>
        <w:ind w:left="1418" w:hanging="1418"/>
        <w:jc w:val="both"/>
        <w:rPr>
          <w:rFonts w:ascii="Arial" w:hAnsi="Arial" w:cs="Arial"/>
          <w:sz w:val="22"/>
          <w:szCs w:val="22"/>
        </w:rPr>
      </w:pPr>
      <w:r w:rsidRPr="00F611EC">
        <w:rPr>
          <w:rFonts w:ascii="Arial" w:hAnsi="Arial" w:cs="Arial"/>
          <w:b/>
          <w:bCs/>
          <w:sz w:val="22"/>
          <w:szCs w:val="22"/>
        </w:rPr>
        <w:t>14.15.1</w:t>
      </w:r>
      <w:r w:rsidR="00EE1BA9">
        <w:rPr>
          <w:rFonts w:ascii="Arial" w:hAnsi="Arial" w:cs="Arial"/>
          <w:b/>
          <w:bCs/>
          <w:sz w:val="22"/>
          <w:szCs w:val="22"/>
        </w:rPr>
        <w:t>56</w:t>
      </w:r>
      <w:r w:rsidRPr="00F611EC">
        <w:rPr>
          <w:rFonts w:ascii="Arial" w:hAnsi="Arial" w:cs="Arial"/>
          <w:b/>
          <w:bCs/>
          <w:sz w:val="22"/>
          <w:szCs w:val="22"/>
        </w:rPr>
        <w:t>.6</w:t>
      </w:r>
      <w:r w:rsidRPr="00F611EC">
        <w:rPr>
          <w:rFonts w:ascii="Arial" w:hAnsi="Arial" w:cs="Arial"/>
          <w:sz w:val="22"/>
          <w:szCs w:val="22"/>
        </w:rPr>
        <w:t xml:space="preserve"> The inflation to be applied to the AI Cost Gap and the AI Cost Gap Tariff will be</w:t>
      </w:r>
      <w:r w:rsidR="003C7839">
        <w:rPr>
          <w:rFonts w:ascii="Arial" w:hAnsi="Arial" w:cs="Arial"/>
          <w:sz w:val="22"/>
          <w:szCs w:val="22"/>
        </w:rPr>
        <w:t xml:space="preserve"> </w:t>
      </w:r>
      <w:r w:rsidRPr="00F611EC">
        <w:rPr>
          <w:rFonts w:ascii="Arial" w:hAnsi="Arial" w:cs="Arial"/>
          <w:sz w:val="22"/>
          <w:szCs w:val="22"/>
        </w:rPr>
        <w:t>calculated as follows:</w:t>
      </w:r>
    </w:p>
    <w:p w14:paraId="72F6335A" w14:textId="77777777" w:rsidR="00414AB2" w:rsidRPr="00F611EC" w:rsidRDefault="00414AB2" w:rsidP="00F611EC">
      <w:pPr>
        <w:pStyle w:val="BodyText"/>
        <w:jc w:val="both"/>
        <w:rPr>
          <w:rFonts w:ascii="Arial" w:hAnsi="Arial" w:cs="Arial"/>
          <w:sz w:val="22"/>
          <w:szCs w:val="22"/>
        </w:rPr>
      </w:pPr>
      <m:oMathPara>
        <m:oMath>
          <m:r>
            <w:rPr>
              <w:rFonts w:ascii="Cambria Math" w:hAnsi="Cambria Math" w:cs="Arial"/>
              <w:sz w:val="22"/>
              <w:szCs w:val="22"/>
            </w:rPr>
            <m:t>Inflation in year t=</m:t>
          </m:r>
          <m:f>
            <m:fPr>
              <m:ctrlPr>
                <w:rPr>
                  <w:rFonts w:ascii="Cambria Math" w:hAnsi="Cambria Math" w:cs="Arial"/>
                  <w:i/>
                  <w:iCs/>
                  <w:sz w:val="22"/>
                  <w:szCs w:val="22"/>
                </w:rPr>
              </m:ctrlPr>
            </m:fPr>
            <m:num>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t-1</m:t>
                  </m:r>
                </m:sub>
              </m:sSub>
            </m:num>
            <m:den>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t-2</m:t>
                  </m:r>
                </m:sub>
              </m:sSub>
            </m:den>
          </m:f>
        </m:oMath>
      </m:oMathPara>
    </w:p>
    <w:p w14:paraId="6A1CFE5A" w14:textId="77777777" w:rsidR="00414AB2" w:rsidRPr="00F611EC" w:rsidRDefault="00414AB2" w:rsidP="00F611EC">
      <w:pPr>
        <w:spacing w:line="252" w:lineRule="auto"/>
        <w:jc w:val="both"/>
        <w:rPr>
          <w:rFonts w:ascii="Arial" w:hAnsi="Arial" w:cs="Arial"/>
          <w:sz w:val="22"/>
          <w:szCs w:val="22"/>
        </w:rPr>
      </w:pPr>
    </w:p>
    <w:p w14:paraId="7556A9DE" w14:textId="3D15CE8E"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b/>
          <w:bCs/>
          <w:sz w:val="22"/>
          <w:szCs w:val="22"/>
        </w:rPr>
        <w:t>.</w:t>
      </w:r>
      <w:r w:rsidRPr="00F611EC">
        <w:rPr>
          <w:rFonts w:ascii="Arial" w:hAnsi="Arial" w:cs="Arial"/>
          <w:sz w:val="22"/>
          <w:szCs w:val="22"/>
        </w:rPr>
        <w:t>7</w:t>
      </w:r>
      <w:r w:rsidRPr="00F611EC">
        <w:rPr>
          <w:rFonts w:ascii="Arial" w:hAnsi="Arial" w:cs="Arial"/>
          <w:b/>
          <w:bCs/>
          <w:i/>
          <w:iCs/>
          <w:sz w:val="22"/>
          <w:szCs w:val="22"/>
        </w:rPr>
        <w:tab/>
      </w:r>
      <w:r w:rsidRPr="00F611EC">
        <w:rPr>
          <w:rFonts w:ascii="Arial" w:hAnsi="Arial" w:cs="Arial"/>
          <w:i/>
          <w:iCs/>
          <w:sz w:val="22"/>
          <w:szCs w:val="22"/>
        </w:rPr>
        <w:t>Calculating the</w:t>
      </w:r>
      <w:r w:rsidRPr="00F611EC">
        <w:rPr>
          <w:rFonts w:ascii="Arial" w:hAnsi="Arial" w:cs="Arial"/>
          <w:b/>
          <w:bCs/>
          <w:i/>
          <w:iCs/>
          <w:sz w:val="22"/>
          <w:szCs w:val="22"/>
        </w:rPr>
        <w:t xml:space="preserve"> </w:t>
      </w:r>
      <w:r w:rsidRPr="00F611EC">
        <w:rPr>
          <w:rFonts w:ascii="Arial" w:hAnsi="Arial" w:cs="Arial"/>
          <w:i/>
          <w:sz w:val="22"/>
          <w:szCs w:val="22"/>
        </w:rPr>
        <w:t>AI Cost Gap Tariff</w:t>
      </w:r>
      <w:r w:rsidRPr="00F611EC">
        <w:rPr>
          <w:rFonts w:ascii="Arial" w:hAnsi="Arial" w:cs="Arial"/>
          <w:sz w:val="22"/>
          <w:szCs w:val="22"/>
        </w:rPr>
        <w:t xml:space="preserve">: The AI Cost Gap Tariff for the subsequent generator (generator </w:t>
      </w:r>
      <m:oMath>
        <m:r>
          <w:rPr>
            <w:rFonts w:ascii="Cambria Math" w:hAnsi="Cambria Math" w:cs="Arial"/>
            <w:sz w:val="22"/>
            <w:szCs w:val="22"/>
          </w:rPr>
          <m:t>i)</m:t>
        </m:r>
      </m:oMath>
      <w:r w:rsidRPr="00F611EC">
        <w:rPr>
          <w:rFonts w:ascii="Arial" w:hAnsi="Arial" w:cs="Arial"/>
          <w:sz w:val="22"/>
          <w:szCs w:val="22"/>
        </w:rPr>
        <w:t xml:space="preserve"> which is expressed in £/kW, shall be the ratio of the AI Cost Gap that generator </w:t>
      </w:r>
      <m:oMath>
        <m:r>
          <w:rPr>
            <w:rFonts w:ascii="Cambria Math" w:hAnsi="Cambria Math" w:cs="Arial"/>
            <w:sz w:val="22"/>
            <w:szCs w:val="22"/>
          </w:rPr>
          <m:t>i</m:t>
        </m:r>
      </m:oMath>
      <w:r w:rsidRPr="00F611EC">
        <w:rPr>
          <w:rFonts w:ascii="Arial" w:hAnsi="Arial" w:cs="Arial"/>
          <w:sz w:val="22"/>
          <w:szCs w:val="22"/>
        </w:rPr>
        <w:t xml:space="preserve"> is liable to pay for the relevant year (£) and the </w:t>
      </w:r>
      <w:r w:rsidRPr="00F611EC">
        <w:rPr>
          <w:rFonts w:ascii="Arial" w:hAnsi="Arial" w:cs="Arial"/>
          <w:b/>
          <w:bCs/>
          <w:sz w:val="22"/>
          <w:szCs w:val="22"/>
        </w:rPr>
        <w:t>Transmission Entry Capacity</w:t>
      </w:r>
      <w:r w:rsidRPr="00F611EC">
        <w:rPr>
          <w:rFonts w:ascii="Arial" w:hAnsi="Arial" w:cs="Arial"/>
          <w:sz w:val="22"/>
          <w:szCs w:val="22"/>
        </w:rPr>
        <w:t xml:space="preserve"> (kW) of generator </w:t>
      </w:r>
      <m:oMath>
        <m:r>
          <w:rPr>
            <w:rFonts w:ascii="Cambria Math" w:hAnsi="Cambria Math" w:cs="Arial"/>
            <w:sz w:val="22"/>
            <w:szCs w:val="22"/>
          </w:rPr>
          <m:t>i</m:t>
        </m:r>
      </m:oMath>
      <w:r w:rsidRPr="00F611EC">
        <w:rPr>
          <w:rFonts w:ascii="Arial" w:hAnsi="Arial" w:cs="Arial"/>
          <w:sz w:val="22"/>
          <w:szCs w:val="22"/>
        </w:rPr>
        <w:t>, i.e:</w:t>
      </w:r>
    </w:p>
    <w:p w14:paraId="4398FF4F" w14:textId="77777777" w:rsidR="008B5963" w:rsidRPr="00F611EC" w:rsidRDefault="008B5963" w:rsidP="00F611EC">
      <w:pPr>
        <w:spacing w:line="252" w:lineRule="auto"/>
        <w:jc w:val="both"/>
        <w:rPr>
          <w:rFonts w:ascii="Arial" w:hAnsi="Arial" w:cs="Arial"/>
          <w:sz w:val="22"/>
          <w:szCs w:val="22"/>
        </w:rPr>
      </w:pPr>
    </w:p>
    <w:p w14:paraId="18BFAE6D" w14:textId="77777777" w:rsidR="00414AB2" w:rsidRDefault="00414AB2" w:rsidP="00F611EC">
      <w:pPr>
        <w:pStyle w:val="ListParagraph"/>
        <w:numPr>
          <w:ilvl w:val="0"/>
          <w:numId w:val="134"/>
        </w:numPr>
        <w:spacing w:line="252" w:lineRule="auto"/>
        <w:contextualSpacing/>
        <w:jc w:val="both"/>
        <w:rPr>
          <w:rFonts w:ascii="Arial" w:hAnsi="Arial" w:cs="Arial"/>
          <w:sz w:val="22"/>
          <w:szCs w:val="22"/>
        </w:rPr>
      </w:pPr>
      <w:r w:rsidRPr="00F611EC">
        <w:rPr>
          <w:rFonts w:ascii="Arial" w:hAnsi="Arial" w:cs="Arial"/>
          <w:sz w:val="22"/>
          <w:szCs w:val="22"/>
        </w:rPr>
        <w:t xml:space="preserve">AI Cost Gap Tariff for Generator </w:t>
      </w:r>
      <m:oMath>
        <m:r>
          <w:rPr>
            <w:rFonts w:ascii="Cambria Math" w:hAnsi="Cambria Math" w:cs="Arial"/>
            <w:sz w:val="22"/>
            <w:szCs w:val="22"/>
          </w:rPr>
          <m:t xml:space="preserve">i= </m:t>
        </m:r>
        <m:f>
          <m:fPr>
            <m:ctrlPr>
              <w:rPr>
                <w:rFonts w:ascii="Cambria Math" w:hAnsi="Cambria Math" w:cs="Arial"/>
                <w:i/>
                <w:sz w:val="22"/>
                <w:szCs w:val="22"/>
              </w:rPr>
            </m:ctrlPr>
          </m:fPr>
          <m:num>
            <m:r>
              <w:rPr>
                <w:rFonts w:ascii="Cambria Math" w:hAnsi="Cambria Math" w:cs="Arial"/>
                <w:sz w:val="22"/>
                <w:szCs w:val="22"/>
              </w:rPr>
              <m:t>n×AI Cost Gap</m:t>
            </m:r>
          </m:num>
          <m:den>
            <m:r>
              <w:rPr>
                <w:rFonts w:ascii="Cambria Math" w:hAnsi="Cambria Math" w:cs="Arial"/>
                <w:sz w:val="22"/>
                <w:szCs w:val="22"/>
              </w:rPr>
              <m:t>N×</m:t>
            </m:r>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den>
        </m:f>
      </m:oMath>
    </w:p>
    <w:p w14:paraId="4A20FB1C" w14:textId="77777777" w:rsidR="008B5963" w:rsidRPr="00F611EC" w:rsidRDefault="008B5963" w:rsidP="00F611EC">
      <w:pPr>
        <w:spacing w:line="252" w:lineRule="auto"/>
        <w:ind w:left="360"/>
        <w:contextualSpacing/>
        <w:jc w:val="both"/>
        <w:rPr>
          <w:rFonts w:ascii="Arial" w:hAnsi="Arial" w:cs="Arial"/>
          <w:sz w:val="22"/>
          <w:szCs w:val="22"/>
        </w:rPr>
      </w:pPr>
    </w:p>
    <w:p w14:paraId="0C9339FB" w14:textId="77777777" w:rsidR="00414AB2" w:rsidRPr="00F611EC" w:rsidRDefault="00414AB2" w:rsidP="00F611EC">
      <w:pPr>
        <w:pStyle w:val="ListParagraph"/>
        <w:numPr>
          <w:ilvl w:val="0"/>
          <w:numId w:val="134"/>
        </w:numPr>
        <w:spacing w:after="160" w:line="252" w:lineRule="auto"/>
        <w:contextualSpacing/>
        <w:jc w:val="both"/>
        <w:rPr>
          <w:rFonts w:ascii="Arial" w:hAnsi="Arial" w:cs="Arial"/>
          <w:sz w:val="22"/>
          <w:szCs w:val="22"/>
        </w:rPr>
      </w:pPr>
      <w:r w:rsidRPr="00F611EC">
        <w:rPr>
          <w:rFonts w:ascii="Arial" w:hAnsi="Arial" w:cs="Arial"/>
          <w:sz w:val="22"/>
          <w:szCs w:val="22"/>
        </w:rPr>
        <w:t>Where:</w:t>
      </w:r>
    </w:p>
    <w:p w14:paraId="0724165F" w14:textId="77777777" w:rsidR="00414AB2" w:rsidRPr="00F611EC" w:rsidRDefault="00000000" w:rsidP="00F611EC">
      <w:pPr>
        <w:pStyle w:val="ListParagraph"/>
        <w:numPr>
          <w:ilvl w:val="1"/>
          <w:numId w:val="134"/>
        </w:numPr>
        <w:spacing w:after="160" w:line="252" w:lineRule="auto"/>
        <w:contextualSpacing/>
        <w:jc w:val="both"/>
        <w:rPr>
          <w:rFonts w:ascii="Arial" w:hAnsi="Arial" w:cs="Arial"/>
          <w:sz w:val="22"/>
          <w:szCs w:val="22"/>
        </w:rPr>
      </w:pPr>
      <m:oMath>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oMath>
      <w:r w:rsidR="00414AB2" w:rsidRPr="00F611EC">
        <w:rPr>
          <w:rFonts w:ascii="Arial" w:hAnsi="Arial" w:cs="Arial"/>
          <w:sz w:val="22"/>
          <w:szCs w:val="22"/>
        </w:rPr>
        <w:t xml:space="preserve">= </w:t>
      </w:r>
      <w:r w:rsidR="00414AB2" w:rsidRPr="00F611EC">
        <w:rPr>
          <w:rFonts w:ascii="Arial" w:hAnsi="Arial" w:cs="Arial"/>
          <w:b/>
          <w:bCs/>
          <w:sz w:val="22"/>
          <w:szCs w:val="22"/>
        </w:rPr>
        <w:t>Transmission Entry Capacity</w:t>
      </w:r>
      <w:r w:rsidR="00414AB2" w:rsidRPr="00F611EC">
        <w:rPr>
          <w:rFonts w:ascii="Arial" w:hAnsi="Arial" w:cs="Arial"/>
          <w:sz w:val="22"/>
          <w:szCs w:val="22"/>
        </w:rPr>
        <w:t xml:space="preserve"> of generator </w:t>
      </w:r>
      <m:oMath>
        <m:r>
          <w:rPr>
            <w:rFonts w:ascii="Cambria Math" w:hAnsi="Cambria Math" w:cs="Arial"/>
            <w:sz w:val="22"/>
            <w:szCs w:val="22"/>
          </w:rPr>
          <m:t>i</m:t>
        </m:r>
      </m:oMath>
      <w:r w:rsidR="00414AB2" w:rsidRPr="00F611EC">
        <w:rPr>
          <w:rFonts w:ascii="Arial" w:eastAsiaTheme="minorEastAsia" w:hAnsi="Arial" w:cs="Arial"/>
          <w:sz w:val="22"/>
          <w:szCs w:val="22"/>
        </w:rPr>
        <w:t xml:space="preserve"> in kW</w:t>
      </w:r>
    </w:p>
    <w:p w14:paraId="0E7AF93B" w14:textId="77777777"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number of days remaining in the year over which the tariff is to be paid</w:t>
      </w:r>
    </w:p>
    <w:p w14:paraId="1EB8012F" w14:textId="08A1FA33"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total number of days over which the tariff is applicable (calculated as per 14.15.1</w:t>
      </w:r>
      <w:r w:rsidR="00EE1BA9">
        <w:rPr>
          <w:rFonts w:ascii="Arial" w:hAnsi="Arial" w:cs="Arial"/>
          <w:sz w:val="22"/>
          <w:szCs w:val="22"/>
        </w:rPr>
        <w:t>56</w:t>
      </w:r>
      <w:r w:rsidRPr="00F611EC">
        <w:rPr>
          <w:rFonts w:ascii="Arial" w:hAnsi="Arial" w:cs="Arial"/>
          <w:sz w:val="22"/>
          <w:szCs w:val="22"/>
        </w:rPr>
        <w:t>.4)</w:t>
      </w:r>
    </w:p>
    <w:p w14:paraId="0551C63C" w14:textId="0F82D03C" w:rsidR="00EB2B4D" w:rsidRPr="00F611EC" w:rsidRDefault="00414AB2" w:rsidP="00F611EC">
      <w:pPr>
        <w:ind w:left="1418" w:hanging="1418"/>
        <w:jc w:val="both"/>
        <w:rPr>
          <w:rFonts w:ascii="Arial" w:eastAsia="Calibri" w:hAnsi="Arial" w:cs="Arial"/>
          <w:sz w:val="22"/>
          <w:szCs w:val="22"/>
          <w:lang w:val="en-US"/>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.8</w:t>
      </w:r>
      <w:r w:rsidRPr="00F611EC">
        <w:rPr>
          <w:rFonts w:ascii="Arial" w:hAnsi="Arial" w:cs="Arial"/>
          <w:sz w:val="22"/>
          <w:szCs w:val="22"/>
        </w:rPr>
        <w:tab/>
        <w:t>The calculation described in 14.15.1</w:t>
      </w:r>
      <w:r w:rsidR="00EE1BA9">
        <w:rPr>
          <w:rFonts w:ascii="Arial" w:hAnsi="Arial" w:cs="Arial"/>
          <w:sz w:val="22"/>
          <w:szCs w:val="22"/>
        </w:rPr>
        <w:t>56</w:t>
      </w:r>
      <w:r w:rsidRPr="00F611EC">
        <w:rPr>
          <w:rFonts w:ascii="Arial" w:hAnsi="Arial" w:cs="Arial"/>
          <w:sz w:val="22"/>
          <w:szCs w:val="22"/>
        </w:rPr>
        <w:t xml:space="preserve">.6 shall be used for the initial partial year in which generator </w:t>
      </w:r>
      <m:oMath>
        <m:r>
          <w:rPr>
            <w:rFonts w:ascii="Cambria Math" w:hAnsi="Cambria Math" w:cs="Arial"/>
            <w:sz w:val="22"/>
            <w:szCs w:val="22"/>
          </w:rPr>
          <m:t>i</m:t>
        </m:r>
      </m:oMath>
      <w:r w:rsidRPr="00F611EC">
        <w:rPr>
          <w:rFonts w:ascii="Arial" w:hAnsi="Arial" w:cs="Arial"/>
          <w:sz w:val="22"/>
          <w:szCs w:val="22"/>
        </w:rPr>
        <w:t xml:space="preserve"> connects (if applicable) and the first full charging year. For each subsequent year that the AI Cost Gap Tariff is applicable after the year of calculation, the full year AI Cost Gap Tariff for generator </w:t>
      </w:r>
      <m:oMath>
        <m:r>
          <w:rPr>
            <w:rFonts w:ascii="Cambria Math" w:hAnsi="Cambria Math" w:cs="Arial"/>
            <w:sz w:val="22"/>
            <w:szCs w:val="22"/>
          </w:rPr>
          <m:t>i</m:t>
        </m:r>
      </m:oMath>
      <w:r w:rsidRPr="00F611EC">
        <w:rPr>
          <w:rFonts w:ascii="Arial" w:hAnsi="Arial" w:cs="Arial"/>
          <w:sz w:val="22"/>
          <w:szCs w:val="22"/>
        </w:rPr>
        <w:t xml:space="preserve"> shall be inflated in line with the average increase in May to October CPIH as per 14.15.1</w:t>
      </w:r>
      <w:r w:rsidR="00EE1BA9">
        <w:rPr>
          <w:rFonts w:ascii="Arial" w:hAnsi="Arial" w:cs="Arial"/>
          <w:sz w:val="22"/>
          <w:szCs w:val="22"/>
        </w:rPr>
        <w:t>56</w:t>
      </w:r>
      <w:r w:rsidRPr="00F611EC">
        <w:rPr>
          <w:rFonts w:ascii="Arial" w:hAnsi="Arial" w:cs="Arial"/>
          <w:sz w:val="22"/>
          <w:szCs w:val="22"/>
        </w:rPr>
        <w:t>.6</w:t>
      </w:r>
      <w:r w:rsidR="00EE1BA9">
        <w:rPr>
          <w:rFonts w:ascii="Arial" w:hAnsi="Arial" w:cs="Arial"/>
          <w:sz w:val="22"/>
          <w:szCs w:val="22"/>
        </w:rPr>
        <w:t>.</w:t>
      </w: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258" w:name="_Toc32201082"/>
      <w:bookmarkStart w:id="259" w:name="_Toc49661119"/>
      <w:bookmarkEnd w:id="254"/>
      <w:bookmarkEnd w:id="255"/>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260" w:name="_Ref506957800"/>
      <w:bookmarkStart w:id="261" w:name="_Toc32201083"/>
      <w:bookmarkStart w:id="262" w:name="_Toc49661120"/>
      <w:bookmarkStart w:id="263" w:name="_Toc98821478"/>
      <w:bookmarkStart w:id="264" w:name="_Toc111259845"/>
      <w:bookmarkStart w:id="265" w:name="_Toc111262532"/>
      <w:bookmarkStart w:id="266" w:name="_Toc274049695"/>
      <w:bookmarkEnd w:id="258"/>
      <w:bookmarkEnd w:id="259"/>
      <w:r w:rsidRPr="00D54761">
        <w:rPr>
          <w:bCs/>
          <w:color w:val="auto"/>
          <w:sz w:val="28"/>
          <w:szCs w:val="28"/>
        </w:rPr>
        <w:t>14.16 Derivation of the Transmission Network Use of System Energy Consumption Tariff</w:t>
      </w:r>
      <w:bookmarkEnd w:id="260"/>
      <w:bookmarkEnd w:id="261"/>
      <w:bookmarkEnd w:id="262"/>
      <w:r w:rsidRPr="00D54761">
        <w:rPr>
          <w:bCs/>
          <w:color w:val="auto"/>
          <w:sz w:val="28"/>
          <w:szCs w:val="28"/>
        </w:rPr>
        <w:t xml:space="preserve"> and Short Term Capacity Tariff</w:t>
      </w:r>
      <w:bookmarkEnd w:id="263"/>
      <w:bookmarkEnd w:id="264"/>
      <w:bookmarkEnd w:id="265"/>
      <w:r w:rsidRPr="00D54761">
        <w:rPr>
          <w:bCs/>
          <w:color w:val="auto"/>
          <w:sz w:val="28"/>
          <w:szCs w:val="28"/>
        </w:rPr>
        <w:t>s</w:t>
      </w:r>
      <w:bookmarkEnd w:id="266"/>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267" w:name="_Toc274049696"/>
      <w:r>
        <w:t>Short Term Transmission Entry Capacity (STTEC) Tariff</w:t>
      </w:r>
      <w:bookmarkEnd w:id="267"/>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(ET</w:t>
      </w:r>
      <w:r w:rsidR="00B56030" w:rsidRPr="00991119">
        <w:rPr>
          <w:vertAlign w:val="subscript"/>
        </w:rPr>
        <w:t>Gi</w:t>
      </w:r>
      <w:r w:rsidR="00B56030">
        <w:t xml:space="preserve">) </w:t>
      </w:r>
      <w:r>
        <w:t xml:space="preserve"> annual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STTECs will not be reconciled following a mid year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268" w:name="_Toc274049697"/>
      <w:r w:rsidRPr="00DC7159">
        <w:t>Limited Duration Transmission Entry Capacity (LDTEC) Tariffs</w:t>
      </w:r>
      <w:bookmarkEnd w:id="268"/>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not just the period that the STTEC is applicable for).  LD</w:t>
      </w:r>
      <w:r>
        <w:t>TECs will not be reconciled following a mid year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£/kW;</w:t>
      </w:r>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269"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270" w:name="_Toc32201085"/>
      <w:bookmarkStart w:id="271" w:name="_Toc49661123"/>
      <w:bookmarkStart w:id="272" w:name="_Toc274049698"/>
      <w:bookmarkEnd w:id="269"/>
      <w:r w:rsidRPr="00D54761">
        <w:rPr>
          <w:color w:val="auto"/>
          <w:sz w:val="28"/>
          <w:szCs w:val="28"/>
        </w:rPr>
        <w:t>14.17 Demand Charges</w:t>
      </w:r>
      <w:bookmarkEnd w:id="270"/>
      <w:bookmarkEnd w:id="271"/>
      <w:bookmarkEnd w:id="272"/>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273" w:name="_Toc32201086"/>
      <w:bookmarkStart w:id="274" w:name="_Toc49661124"/>
      <w:bookmarkStart w:id="275" w:name="_Toc274049699"/>
      <w:r>
        <w:t>Parties Liable for Demand Charges</w:t>
      </w:r>
      <w:bookmarkEnd w:id="273"/>
      <w:bookmarkEnd w:id="274"/>
      <w:bookmarkEnd w:id="275"/>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locational</w:t>
      </w:r>
      <w:r>
        <w:rPr>
          <w:rFonts w:ascii="Arial" w:hAnsi="Arial" w:cs="Arial"/>
          <w:i w:val="0"/>
        </w:rPr>
        <w:t>,</w:t>
      </w:r>
      <w:r w:rsidR="00010EB2">
        <w:rPr>
          <w:rFonts w:ascii="Arial" w:hAnsi="Arial" w:cs="Arial"/>
          <w:b/>
          <w:i w:val="0"/>
        </w:rPr>
        <w:t>Transmission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all of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The Lead Party of a Supplier BM Unit;</w:t>
      </w:r>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Power Stations with a Bilateral Connection Agreement;</w:t>
      </w:r>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276" w:name="_Toc32201087"/>
      <w:bookmarkStart w:id="277" w:name="_Toc49661125"/>
      <w:bookmarkStart w:id="278" w:name="_Toc274049700"/>
      <w:r>
        <w:t xml:space="preserve">Basis of </w:t>
      </w:r>
      <w:r w:rsidR="00010EB2">
        <w:t>Demand Locational</w:t>
      </w:r>
      <w:r>
        <w:t xml:space="preserve"> Charges</w:t>
      </w:r>
      <w:bookmarkEnd w:id="276"/>
      <w:bookmarkEnd w:id="277"/>
      <w:bookmarkEnd w:id="278"/>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£0/kW charge for Half Hourly and £0/kWh for Non Half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3"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drawing>
          <wp:inline distT="0" distB="0" distL="0" distR="0" wp14:anchorId="05103F23" wp14:editId="2BDA0C38">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63AAD5D4">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pro rated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2"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11B281A2" w14:textId="77777777" w:rsidR="000A2EE4" w:rsidRDefault="000A2EE4" w:rsidP="00793AFF">
      <w:pPr>
        <w:pStyle w:val="StyleArial11ptJustified"/>
        <w:ind w:left="1440" w:firstLine="720"/>
        <w:rPr>
          <w:rFonts w:cs="Arial"/>
          <w:szCs w:val="22"/>
        </w:rPr>
      </w:pPr>
    </w:p>
    <w:p w14:paraId="4FF00FFF" w14:textId="0823DAED"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279" w:name="_Toc49661126"/>
      <w:bookmarkStart w:id="280"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279"/>
      <w:bookmarkEnd w:id="280"/>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non half-hourly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281" w:name="_Toc49661127"/>
      <w:bookmarkStart w:id="282" w:name="_Toc274049702"/>
      <w:r w:rsidRPr="004248A1">
        <w:rPr>
          <w:rFonts w:ascii="Arial" w:hAnsi="Arial" w:cs="Arial"/>
          <w:b/>
        </w:rPr>
        <w:t>Power Stations with a Bilateral Connection Agreement</w:t>
      </w:r>
      <w:bookmarkEnd w:id="281"/>
      <w:r w:rsidRPr="004248A1">
        <w:rPr>
          <w:rFonts w:ascii="Arial" w:hAnsi="Arial" w:cs="Arial"/>
          <w:b/>
        </w:rPr>
        <w:t xml:space="preserve"> and Licensable Generation with a Bilateral Embedded Generation Agreement</w:t>
      </w:r>
      <w:bookmarkEnd w:id="282"/>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283" w:name="_Toc49661128"/>
      <w:bookmarkStart w:id="284" w:name="_Toc274049703"/>
      <w:r w:rsidRPr="004248A1">
        <w:rPr>
          <w:rFonts w:ascii="Arial" w:hAnsi="Arial" w:cs="Arial"/>
          <w:b/>
        </w:rPr>
        <w:t>Exemptible Generation and Derogated Distribution Interconnectors with a Bilateral Embedded Generation Agreement</w:t>
      </w:r>
      <w:bookmarkEnd w:id="283"/>
      <w:bookmarkEnd w:id="284"/>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285" w:name="_Toc32201088"/>
      <w:bookmarkStart w:id="286" w:name="_Toc49661130"/>
    </w:p>
    <w:p w14:paraId="2145EB86" w14:textId="77777777" w:rsidR="006661FE" w:rsidRDefault="006661FE" w:rsidP="006661FE">
      <w:pPr>
        <w:pStyle w:val="Heading2"/>
      </w:pPr>
      <w:bookmarkStart w:id="287" w:name="_Toc274049704"/>
      <w:r>
        <w:t>Small Generators Tariffs</w:t>
      </w:r>
      <w:bookmarkEnd w:id="287"/>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288" w:name="_Toc274049705"/>
      <w:r>
        <w:t>The Triad</w:t>
      </w:r>
      <w:bookmarkEnd w:id="285"/>
      <w:bookmarkEnd w:id="286"/>
      <w:bookmarkEnd w:id="288"/>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289"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289"/>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14:sizeRelH relativeFrom="page">
              <wp14:pctWidth>0</wp14:pctWidth>
            </wp14:sizeRelH>
            <wp14:sizeRelV relativeFrom="page">
              <wp14:pctHeight>0</wp14:pctHeight>
            </wp14:sizeRelV>
          </wp:anchor>
        </w:drawing>
      </w:r>
      <w:bookmarkStart w:id="290" w:name="_Toc497131269"/>
      <w:r w:rsidR="006661FE">
        <w:fldChar w:fldCharType="begin"/>
      </w:r>
      <w:r w:rsidR="006661FE">
        <w:instrText xml:space="preserve"> XE "Triad" </w:instrText>
      </w:r>
      <w:r w:rsidR="006661FE">
        <w:fldChar w:fldCharType="end"/>
      </w:r>
      <w:bookmarkEnd w:id="290"/>
      <w:r w:rsidR="006661FE">
        <w:fldChar w:fldCharType="begin"/>
      </w:r>
      <w:r w:rsidR="006661FE">
        <w:instrText xml:space="preserve"> XE "Trading Unit" </w:instrText>
      </w:r>
      <w:r w:rsidR="006661FE">
        <w:fldChar w:fldCharType="end"/>
      </w:r>
    </w:p>
    <w:bookmarkStart w:id="291"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291"/>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292" w:name="_Hlt497734631"/>
      <w:bookmarkEnd w:id="292"/>
      <w:r>
        <w:t xml:space="preserve"> </w:t>
      </w:r>
      <w:r w:rsidR="002064B2">
        <w:t xml:space="preserve"> </w:t>
      </w:r>
      <w:bookmarkStart w:id="293" w:name="_Ref192597305"/>
      <w:r w:rsidR="002064B2">
        <w:t>Throughout the year Users will submit a Demand Forecast. A Demand Forecast will include:</w:t>
      </w:r>
      <w:bookmarkEnd w:id="293"/>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on</w:t>
      </w:r>
      <w:r w:rsidR="0022187C">
        <w:t>;</w:t>
      </w:r>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have the opportunity to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The sum of the gross demand forecast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at all times,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in order to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The reconciliation process is set out in the CUSC.  The demand reconciliation process compares the monthly charges paid by Users against actual outturn charges.  Due to the Settlements process, reconciliation of demand charges is carried out in two stages;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parts;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294" w:name="_Hlk35263653"/>
      <w:bookmarkStart w:id="295" w:name="_Hlk35263622"/>
      <w:r w:rsidRPr="00010EB2">
        <w:rPr>
          <w:rFonts w:ascii="Arial" w:hAnsi="Arial" w:cs="Arial"/>
          <w:b/>
        </w:rPr>
        <w:t>Initial Reconciliation Part 2 – Non-half-hourly metered demand</w:t>
      </w:r>
    </w:p>
    <w:bookmarkEnd w:id="294"/>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296" w:name="_Hlk35263694"/>
      <w:r w:rsidRPr="00010EB2">
        <w:rPr>
          <w:rFonts w:ascii="Arial" w:hAnsi="Arial" w:cs="Arial"/>
        </w:rPr>
        <w:t xml:space="preserve">non-half-hourly metered demand will be </w:t>
      </w:r>
      <w:bookmarkEnd w:id="296"/>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295"/>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1BB836EF" w:rsidR="0022187C" w:rsidRPr="00010EB2" w:rsidRDefault="0022187C" w:rsidP="007D27B2">
      <w:pPr>
        <w:numPr>
          <w:ilvl w:val="0"/>
          <w:numId w:val="99"/>
        </w:numPr>
        <w:jc w:val="both"/>
        <w:rPr>
          <w:rFonts w:ascii="Arial" w:hAnsi="Arial" w:cs="Arial"/>
        </w:rPr>
      </w:pPr>
      <w:proofErr w:type="gramStart"/>
      <w:r w:rsidRPr="00010EB2">
        <w:rPr>
          <w:rFonts w:ascii="Arial" w:hAnsi="Arial" w:cs="Arial"/>
        </w:rPr>
        <w:t>In the event that</w:t>
      </w:r>
      <w:proofErr w:type="gramEnd"/>
      <w:r w:rsidRPr="00010EB2">
        <w:rPr>
          <w:rFonts w:ascii="Arial" w:hAnsi="Arial" w:cs="Arial"/>
        </w:rPr>
        <w:t xml:space="preserve"> a manifest error, or multiple errors in the calculation of TNUoS tariffs results in a material discrepancy in a Users TNUoS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a) an error in the transfer of relevant data between the Transmission Licensees or Distribution Network Operators;</w:t>
      </w:r>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b) an error in the population of the Transport Model with relevant data;</w:t>
      </w:r>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which results in an error in the annual TNUoS charge of a User in excess of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r w:rsidRPr="00CD5631">
        <w:rPr>
          <w:rFonts w:ascii="Arial" w:hAnsi="Arial" w:cs="Arial"/>
        </w:rPr>
        <w:t>Dadj = GCharge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r w:rsidRPr="00CD5631">
        <w:rPr>
          <w:rFonts w:ascii="Arial" w:hAnsi="Arial" w:cs="Arial"/>
        </w:rPr>
        <w:t>Dadj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r w:rsidRPr="00CD5631">
        <w:rPr>
          <w:rFonts w:ascii="Arial" w:hAnsi="Arial" w:cs="Arial"/>
          <w:szCs w:val="22"/>
        </w:rPr>
        <w:t>CapEC =  The upper limit of the Limiting Regulation</w:t>
      </w:r>
    </w:p>
    <w:p w14:paraId="59DD7246" w14:textId="51FC1B62" w:rsidR="0022187C" w:rsidRPr="00CD5631" w:rsidRDefault="00000000"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HH gross Demand, in order to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r w:rsidRPr="00CD5631">
        <w:rPr>
          <w:rFonts w:ascii="Arial" w:hAnsi="Arial" w:cs="Arial"/>
        </w:rPr>
        <w:t>Where</w:t>
      </w:r>
    </w:p>
    <w:p w14:paraId="48232A5F"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r w:rsidRPr="00CD5631">
        <w:rPr>
          <w:rFonts w:ascii="Arial" w:hAnsi="Arial" w:cs="Arial"/>
        </w:rPr>
        <w:t>Where</w:t>
      </w:r>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r w:rsidRPr="00CD5631">
        <w:rPr>
          <w:rFonts w:ascii="Arial" w:hAnsi="Arial" w:cs="Arial"/>
        </w:rPr>
        <w:t xml:space="preserve">ERadj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Dadj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r w:rsidRPr="00CD5631">
        <w:rPr>
          <w:rFonts w:ascii="Arial" w:hAnsi="Arial" w:cs="Arial"/>
        </w:rPr>
        <w:t>Dadj = GCharge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r w:rsidRPr="00CD5631">
        <w:rPr>
          <w:rFonts w:ascii="Arial" w:hAnsi="Arial" w:cs="Arial"/>
        </w:rPr>
        <w:t>Dadj = Revenue to be credited to Demand</w:t>
      </w:r>
    </w:p>
    <w:p w14:paraId="0C672A30"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The rate applied to HH gross Demand, in order to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r w:rsidRPr="00CD5631">
        <w:rPr>
          <w:rFonts w:ascii="Arial" w:hAnsi="Arial" w:cs="Arial"/>
        </w:rPr>
        <w:t>Where</w:t>
      </w:r>
    </w:p>
    <w:p w14:paraId="393C6A1D"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r w:rsidRPr="00CD5631">
        <w:rPr>
          <w:rFonts w:ascii="Arial" w:hAnsi="Arial" w:cs="Arial"/>
        </w:rPr>
        <w:t>Where</w:t>
      </w:r>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r w:rsidRPr="00CD5631">
        <w:rPr>
          <w:rFonts w:ascii="Arial" w:hAnsi="Arial" w:cs="Arial"/>
        </w:rPr>
        <w:t>ERadj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r w:rsidRPr="00CD5631">
        <w:rPr>
          <w:rFonts w:ascii="Arial" w:hAnsi="Arial" w:cs="Arial"/>
          <w:szCs w:val="22"/>
        </w:rPr>
        <w:t>Dadj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297"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and also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i.e. Suppliers need not Supply any additional information if they accept this default position</w:t>
      </w:r>
    </w:p>
    <w:p w14:paraId="6217ED0C" w14:textId="77777777" w:rsidR="00556B6D" w:rsidRDefault="00556B6D" w:rsidP="00556B6D">
      <w:pPr>
        <w:pStyle w:val="ListParagraph"/>
      </w:pPr>
    </w:p>
    <w:p w14:paraId="4AEDCDCF" w14:textId="7C8527F2"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Where the Supplier fails to provide the data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4A8685B1"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w:t>
      </w:r>
      <w:r w:rsidR="0005343B">
        <w:rPr>
          <w:rFonts w:cs="Arial (W1)"/>
        </w:rPr>
        <w:t>.</w:t>
      </w:r>
      <w:r w:rsidR="00A56602">
        <w:rPr>
          <w:rFonts w:cs="Arial (W1)"/>
        </w:rPr>
        <w:t xml:space="preserve">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3D690ECA" w:rsidR="00800968"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w:t>
      </w:r>
      <w:r w:rsidR="0084177B">
        <w:t>,</w:t>
      </w:r>
      <w:r w:rsidRPr="00800968">
        <w:t xml:space="preserve"> 3.12</w:t>
      </w:r>
      <w:r w:rsidR="0084177B">
        <w:t xml:space="preserve"> and </w:t>
      </w:r>
      <w:r w:rsidR="00280DDC">
        <w:fldChar w:fldCharType="begin"/>
      </w:r>
      <w:r w:rsidR="00280DDC">
        <w:instrText xml:space="preserve"> REF _Ref192597305 \r \h </w:instrText>
      </w:r>
      <w:r w:rsidR="00280DDC">
        <w:fldChar w:fldCharType="separate"/>
      </w:r>
      <w:r w:rsidR="005642D4">
        <w:t>14.17.19</w:t>
      </w:r>
      <w:r w:rsidR="00280DDC">
        <w:fldChar w:fldCharType="end"/>
      </w:r>
      <w:r w:rsidRPr="00800968">
        <w:t xml:space="preserve">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w:t>
      </w:r>
      <w:r w:rsidR="00297932">
        <w:t>.</w:t>
      </w:r>
    </w:p>
    <w:p w14:paraId="7A706B5D" w14:textId="77777777" w:rsidR="00DA097F" w:rsidRDefault="00DA097F" w:rsidP="00E51C1A">
      <w:pPr>
        <w:pStyle w:val="ListParagraph"/>
      </w:pPr>
    </w:p>
    <w:p w14:paraId="79ACEF97" w14:textId="207887CA" w:rsidR="00DA097F" w:rsidRPr="001319DB" w:rsidRDefault="00DA097F" w:rsidP="00E51C1A">
      <w:pPr>
        <w:pStyle w:val="1"/>
        <w:jc w:val="both"/>
      </w:pPr>
      <w:r w:rsidRPr="00853D78">
        <w:rPr>
          <w:rStyle w:val="ui-provider"/>
          <w:b/>
        </w:rPr>
        <w:t>The following section describes the arrangements that will apply in relation to introduction of half-hourly settlement on a market-wide basis</w:t>
      </w:r>
      <w:r w:rsidR="0037598C">
        <w:rPr>
          <w:rStyle w:val="ui-provider"/>
          <w:b/>
        </w:rPr>
        <w:t>.</w:t>
      </w:r>
    </w:p>
    <w:p w14:paraId="1A4A3C69" w14:textId="77777777" w:rsidR="00F10ECF" w:rsidRDefault="00F10ECF" w:rsidP="007E2F78">
      <w:pPr>
        <w:pStyle w:val="1"/>
        <w:ind w:left="1627"/>
        <w:jc w:val="both"/>
      </w:pPr>
    </w:p>
    <w:p w14:paraId="6CC77F42" w14:textId="77777777" w:rsidR="007F327B" w:rsidRPr="00853D78" w:rsidRDefault="007F327B" w:rsidP="007F327B">
      <w:pPr>
        <w:pStyle w:val="1"/>
        <w:ind w:left="2160" w:hanging="1440"/>
        <w:jc w:val="both"/>
      </w:pPr>
      <w:r w:rsidRPr="00853D78">
        <w:t>14.17.41.1</w:t>
      </w:r>
      <w:r w:rsidRPr="00853D78">
        <w:tab/>
        <w:t xml:space="preserve">Subject to 14.17.40.2, when an MPAN is settled under the MHHS Target Operating Model (as defined in Section C12 </w:t>
      </w:r>
      <w:r w:rsidRPr="00853D78">
        <w:rPr>
          <w:b/>
          <w:bCs/>
        </w:rPr>
        <w:t>of the Balancing and Settlement Code</w:t>
      </w:r>
      <w:r w:rsidRPr="00853D78">
        <w:t xml:space="preserve">) its associated </w:t>
      </w:r>
      <w:r w:rsidRPr="00853D78">
        <w:rPr>
          <w:b/>
          <w:bCs/>
        </w:rPr>
        <w:t>BM Unit</w:t>
      </w:r>
      <w:r w:rsidRPr="00853D78">
        <w:t xml:space="preserve"> gross demand, embedded export or energy consumption will be charged TNUoS as per</w:t>
      </w:r>
      <w:r w:rsidRPr="00853D78">
        <w:rPr>
          <w:b/>
          <w:bCs/>
        </w:rPr>
        <w:t xml:space="preserve"> </w:t>
      </w:r>
      <w:r w:rsidRPr="00853D78">
        <w:t>14.17.13, except in the following circumstances:</w:t>
      </w:r>
    </w:p>
    <w:p w14:paraId="3C6A017C" w14:textId="77777777" w:rsidR="007F327B" w:rsidRPr="00853D78" w:rsidRDefault="007F327B" w:rsidP="007F327B">
      <w:pPr>
        <w:pStyle w:val="1"/>
        <w:ind w:left="2160" w:hanging="1440"/>
        <w:jc w:val="both"/>
      </w:pPr>
    </w:p>
    <w:p w14:paraId="10CE962D" w14:textId="77777777" w:rsidR="007F327B" w:rsidRPr="00853D78" w:rsidRDefault="007F327B" w:rsidP="007F327B">
      <w:pPr>
        <w:pStyle w:val="1"/>
        <w:numPr>
          <w:ilvl w:val="5"/>
          <w:numId w:val="104"/>
        </w:numPr>
        <w:jc w:val="both"/>
      </w:pPr>
      <w:r w:rsidRPr="00853D78">
        <w:t xml:space="preserve">When an MPAN with a non half-hourly </w:t>
      </w:r>
      <w:r w:rsidRPr="00853D78">
        <w:rPr>
          <w:b/>
          <w:bCs/>
        </w:rPr>
        <w:t>Metering System</w:t>
      </w:r>
      <w:r w:rsidRPr="00853D78">
        <w:t xml:space="preserve"> transitions to a half hourly </w:t>
      </w:r>
      <w:r w:rsidRPr="00853D78">
        <w:rPr>
          <w:b/>
          <w:bCs/>
        </w:rPr>
        <w:t>Metering System</w:t>
      </w:r>
      <w:r w:rsidRPr="00853D78">
        <w:t xml:space="preserve"> with a current transformer at Non-Domestic Premises (as defined in a </w:t>
      </w:r>
      <w:r w:rsidRPr="00853D78">
        <w:rPr>
          <w:b/>
          <w:bCs/>
        </w:rPr>
        <w:t>Supply Licence</w:t>
      </w:r>
      <w:r w:rsidRPr="00853D78">
        <w:t xml:space="preserve">) and is reported as such from BSCCo (as defined in </w:t>
      </w:r>
      <w:r w:rsidRPr="00853D78">
        <w:rPr>
          <w:b/>
          <w:bCs/>
        </w:rPr>
        <w:t>the Balancing and Settlement Code</w:t>
      </w:r>
      <w:r w:rsidRPr="00853D78">
        <w:t xml:space="preserve">), to </w:t>
      </w:r>
      <w:r w:rsidRPr="00853D78">
        <w:rPr>
          <w:b/>
          <w:bCs/>
        </w:rPr>
        <w:t>The Company</w:t>
      </w:r>
      <w:r w:rsidRPr="00853D78">
        <w:t xml:space="preserve">, its associated </w:t>
      </w:r>
      <w:r w:rsidRPr="00853D78">
        <w:rPr>
          <w:b/>
          <w:bCs/>
        </w:rPr>
        <w:t xml:space="preserve">BM Unit </w:t>
      </w:r>
      <w:r w:rsidRPr="00853D78">
        <w:t xml:space="preserve">gross demand or embedded export will be treated as Chargeable Demand Locational Capacity or Chargeable Embedded Export Capacity respectively. </w:t>
      </w:r>
    </w:p>
    <w:p w14:paraId="6063E9FA" w14:textId="77777777" w:rsidR="007F327B" w:rsidRPr="00853D78" w:rsidRDefault="007F327B" w:rsidP="007F327B">
      <w:pPr>
        <w:pStyle w:val="1"/>
        <w:ind w:left="2160"/>
        <w:jc w:val="both"/>
      </w:pPr>
    </w:p>
    <w:p w14:paraId="539A50B2" w14:textId="77777777" w:rsidR="002C4975" w:rsidRPr="00E51C1A" w:rsidRDefault="007F327B" w:rsidP="00847EE9">
      <w:pPr>
        <w:pStyle w:val="1"/>
        <w:numPr>
          <w:ilvl w:val="5"/>
          <w:numId w:val="104"/>
        </w:numPr>
        <w:jc w:val="both"/>
        <w:rPr>
          <w:sz w:val="20"/>
        </w:rPr>
      </w:pPr>
      <w:r w:rsidRPr="00853D78">
        <w:t xml:space="preserve">When an MPAN with a non half-hourly </w:t>
      </w:r>
      <w:r w:rsidRPr="002C4975">
        <w:rPr>
          <w:b/>
          <w:bCs/>
        </w:rPr>
        <w:t>Metering System</w:t>
      </w:r>
      <w:r w:rsidRPr="00853D78">
        <w:t xml:space="preserve"> transitions to a half-hourly </w:t>
      </w:r>
      <w:r w:rsidRPr="002C4975">
        <w:rPr>
          <w:b/>
          <w:bCs/>
        </w:rPr>
        <w:t>Metering System</w:t>
      </w:r>
      <w:r w:rsidRPr="00853D78">
        <w:t xml:space="preserve"> with whole current metering at Non- Domestic Premises and is reported as such from BSCCo to </w:t>
      </w:r>
      <w:r w:rsidRPr="002C4975">
        <w:rPr>
          <w:b/>
          <w:bCs/>
        </w:rPr>
        <w:t>The Company</w:t>
      </w:r>
      <w:r w:rsidRPr="00853D78">
        <w:t xml:space="preserve">, its associated </w:t>
      </w:r>
      <w:r w:rsidRPr="002C4975">
        <w:rPr>
          <w:b/>
          <w:bCs/>
        </w:rPr>
        <w:t>BM Uni</w:t>
      </w:r>
      <w:r w:rsidRPr="00853D78">
        <w:t>t energy consumption will be treated as Chargeable Energy Capacity.</w:t>
      </w:r>
    </w:p>
    <w:p w14:paraId="2CFC503A" w14:textId="46EB8000" w:rsidR="006661FE" w:rsidRPr="002C4975" w:rsidRDefault="007F327B" w:rsidP="00E51C1A">
      <w:pPr>
        <w:pStyle w:val="1"/>
        <w:numPr>
          <w:ilvl w:val="5"/>
          <w:numId w:val="104"/>
        </w:numPr>
        <w:spacing w:before="120"/>
        <w:jc w:val="both"/>
        <w:rPr>
          <w:sz w:val="20"/>
        </w:rPr>
      </w:pPr>
      <w:r w:rsidRPr="00853D78">
        <w:t>When an MPAN</w:t>
      </w:r>
      <w:r>
        <w:t xml:space="preserve"> </w:t>
      </w:r>
      <w:r w:rsidRPr="00853D78">
        <w:t xml:space="preserve">transitions to a half-hourly </w:t>
      </w:r>
      <w:r w:rsidRPr="002C4975">
        <w:rPr>
          <w:b/>
          <w:bCs/>
        </w:rPr>
        <w:t xml:space="preserve">Metering System </w:t>
      </w:r>
      <w:r w:rsidRPr="00853D78">
        <w:t>at Domestic Premises (as defined in a</w:t>
      </w:r>
      <w:r w:rsidRPr="002C4975">
        <w:rPr>
          <w:b/>
          <w:bCs/>
        </w:rPr>
        <w:t xml:space="preserve"> Supply Licence</w:t>
      </w:r>
      <w:r w:rsidRPr="00853D78">
        <w:t>)</w:t>
      </w:r>
      <w:r w:rsidRPr="002C4975">
        <w:rPr>
          <w:b/>
          <w:bCs/>
        </w:rPr>
        <w:t xml:space="preserve"> </w:t>
      </w:r>
      <w:r w:rsidRPr="00853D78">
        <w:t>and is reported as such from BSCCo</w:t>
      </w:r>
      <w:r w:rsidRPr="002C4975">
        <w:rPr>
          <w:b/>
          <w:bCs/>
        </w:rPr>
        <w:t xml:space="preserve"> </w:t>
      </w:r>
      <w:r w:rsidRPr="00853D78">
        <w:t xml:space="preserve">to </w:t>
      </w:r>
      <w:r w:rsidRPr="002C4975">
        <w:rPr>
          <w:b/>
          <w:bCs/>
        </w:rPr>
        <w:t>The Company</w:t>
      </w:r>
      <w:r w:rsidRPr="00853D78">
        <w:t xml:space="preserve">, its associated </w:t>
      </w:r>
      <w:r w:rsidRPr="002C4975">
        <w:rPr>
          <w:b/>
          <w:bCs/>
        </w:rPr>
        <w:t xml:space="preserve">BM Unit </w:t>
      </w:r>
      <w:r w:rsidRPr="00853D78">
        <w:t>energy consumption will be treated as Chargeable Energy Capacity</w:t>
      </w:r>
    </w:p>
    <w:p w14:paraId="669E90DE" w14:textId="77777777" w:rsidR="006661FE" w:rsidRDefault="006661FE" w:rsidP="006661FE">
      <w:pPr>
        <w:pStyle w:val="Heading2"/>
      </w:pPr>
      <w:bookmarkStart w:id="298" w:name="_Toc274049713"/>
      <w:r>
        <w:t>Further Information</w:t>
      </w:r>
      <w:bookmarkEnd w:id="298"/>
    </w:p>
    <w:p w14:paraId="6C287FA5" w14:textId="77777777" w:rsidR="006661FE" w:rsidRDefault="006661FE" w:rsidP="006661FE"/>
    <w:p w14:paraId="116326C7" w14:textId="77777777" w:rsidR="007D1C17" w:rsidRPr="007D1C17" w:rsidRDefault="007D1C17" w:rsidP="007D27B2">
      <w:pPr>
        <w:pStyle w:val="ListParagraph"/>
        <w:numPr>
          <w:ilvl w:val="0"/>
          <w:numId w:val="119"/>
        </w:numPr>
        <w:jc w:val="both"/>
        <w:rPr>
          <w:rFonts w:ascii="Arial" w:hAnsi="Arial" w:cs="Arial"/>
          <w:vanish/>
          <w:sz w:val="22"/>
          <w:lang w:eastAsia="en-US"/>
        </w:rPr>
      </w:pPr>
    </w:p>
    <w:p w14:paraId="68B5C577" w14:textId="082A4B66" w:rsidR="0022187C" w:rsidRDefault="003E6A40" w:rsidP="007D27B2">
      <w:pPr>
        <w:pStyle w:val="1"/>
        <w:numPr>
          <w:ilvl w:val="0"/>
          <w:numId w:val="119"/>
        </w:numPr>
        <w:jc w:val="both"/>
        <w:rPr>
          <w:rFonts w:ascii="Arial" w:hAnsi="Arial" w:cs="Arial"/>
        </w:rPr>
      </w:pPr>
      <w:r>
        <w:rPr>
          <w:rFonts w:ascii="Arial" w:hAnsi="Arial" w:cs="Arial"/>
        </w:rPr>
        <w:t xml:space="preserve">Paragraph </w:t>
      </w:r>
      <w:r w:rsidR="0022187C">
        <w:rPr>
          <w:rFonts w:ascii="Arial" w:hAnsi="Arial" w:cs="Arial"/>
        </w:rPr>
        <w:t>14</w:t>
      </w:r>
      <w:r w:rsidR="0022187C">
        <w:rPr>
          <w:rFonts w:ascii="Arial" w:hAnsi="Arial" w:cs="Arial"/>
          <w:b/>
        </w:rPr>
        <w:t>.</w:t>
      </w:r>
      <w:r w:rsidR="0022187C">
        <w:rPr>
          <w:rFonts w:ascii="Arial" w:hAnsi="Arial" w:cs="Arial"/>
        </w:rPr>
        <w:t xml:space="preserve">25 </w:t>
      </w:r>
      <w:r>
        <w:rPr>
          <w:rFonts w:ascii="Arial" w:hAnsi="Arial" w:cs="Arial"/>
        </w:rPr>
        <w:t>(</w:t>
      </w:r>
      <w:r w:rsidR="0022187C">
        <w:rPr>
          <w:rFonts w:ascii="Arial" w:hAnsi="Arial" w:cs="Arial"/>
        </w:rPr>
        <w:t>Reconciliation of Demand Related Transmission Network Use of System Charges</w:t>
      </w:r>
      <w:r>
        <w:rPr>
          <w:rFonts w:ascii="Arial" w:hAnsi="Arial" w:cs="Arial"/>
        </w:rPr>
        <w:t>)</w:t>
      </w:r>
      <w:r w:rsidR="0022187C">
        <w:rPr>
          <w:rFonts w:ascii="Arial" w:hAnsi="Arial" w:cs="Arial"/>
          <w:b/>
        </w:rPr>
        <w:t xml:space="preserve"> </w:t>
      </w:r>
      <w:r w:rsidR="0022187C">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299" w:name="_Toc32201092"/>
      <w:bookmarkStart w:id="300" w:name="_Toc49661139"/>
      <w:bookmarkStart w:id="301" w:name="_Toc274049714"/>
      <w:bookmarkEnd w:id="297"/>
      <w:r w:rsidRPr="00FE40FB">
        <w:rPr>
          <w:color w:val="auto"/>
          <w:sz w:val="28"/>
          <w:szCs w:val="28"/>
        </w:rPr>
        <w:t>14.18 Generation charges</w:t>
      </w:r>
      <w:bookmarkEnd w:id="299"/>
      <w:bookmarkEnd w:id="300"/>
      <w:bookmarkEnd w:id="301"/>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302" w:name="_Toc32201093"/>
      <w:bookmarkStart w:id="303" w:name="_Toc49661140"/>
      <w:bookmarkStart w:id="304" w:name="_Toc274049715"/>
      <w:r>
        <w:t>Parties Liable for Generation Charges</w:t>
      </w:r>
      <w:bookmarkEnd w:id="302"/>
      <w:bookmarkEnd w:id="303"/>
      <w:bookmarkEnd w:id="304"/>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305" w:name="_Toc274049716"/>
      <w:bookmarkStart w:id="306" w:name="_Toc32201094"/>
      <w:bookmarkStart w:id="307" w:name="_Toc49661141"/>
      <w:r>
        <w:t>Structure of Generation Charges</w:t>
      </w:r>
      <w:bookmarkEnd w:id="305"/>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 xml:space="preserve">The Wider Tariff is comprised of (i) a Peak Security element, </w:t>
      </w:r>
      <w:r w:rsidR="00674102" w:rsidRPr="000B6C0D">
        <w:t>(ii) a Year Round Not-Shared element, (iii) Year Round Shared element and</w:t>
      </w:r>
      <w:r w:rsidR="00674102">
        <w:t xml:space="preserve"> (iv) </w:t>
      </w:r>
      <w:r w:rsidR="00527073" w:rsidRPr="00527073">
        <w:t>and, (iv) the Adjustment tariff (if required).</w:t>
      </w:r>
      <w:r w:rsidR="00674102">
        <w:t>.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71FE350A" w:rsidR="00674102" w:rsidRDefault="008A41B4" w:rsidP="000B6C0D">
      <w:pPr>
        <w:pStyle w:val="1"/>
        <w:jc w:val="both"/>
        <w:rPr>
          <w:ins w:id="308" w:author="Martin Cahill [NESO]" w:date="2025-05-20T13:44:00Z" w16du:dateUtc="2025-05-20T12:44:00Z"/>
          <w:rFonts w:cs="Arial"/>
          <w:szCs w:val="22"/>
          <w:vertAlign w:val="subscript"/>
        </w:rPr>
      </w:pPr>
      <w:del w:id="309" w:author="Martin Cahill [NESO]" w:date="2025-05-20T13:44:00Z" w16du:dateUtc="2025-05-20T12:44:00Z">
        <w:r w:rsidDel="00A57AE6">
          <w:rPr>
            <w:rFonts w:cs="Arial"/>
            <w:noProof/>
            <w:position w:val="-10"/>
            <w:szCs w:val="22"/>
            <w:vertAlign w:val="subscript"/>
          </w:rPr>
          <w:drawing>
            <wp:inline distT="0" distB="0" distL="0" distR="0" wp14:anchorId="75DBC718" wp14:editId="4045C03C">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del>
    </w:p>
    <w:p w14:paraId="48AE4BE5" w14:textId="77777777" w:rsidR="00F923C8" w:rsidRDefault="00F923C8" w:rsidP="00F923C8">
      <w:pPr>
        <w:pStyle w:val="1"/>
        <w:jc w:val="both"/>
        <w:rPr>
          <w:ins w:id="310" w:author="Martin Cahill [NESO]" w:date="2025-05-20T13:44:00Z" w16du:dateUtc="2025-05-20T12:44:00Z"/>
          <w:rFonts w:cs="Arial"/>
          <w:szCs w:val="22"/>
          <w:vertAlign w:val="subscript"/>
        </w:rPr>
      </w:pPr>
      <m:oMathPara>
        <m:oMath>
          <m:r>
            <w:ins w:id="311" w:author="Martin Cahill [NESO]" w:date="2025-05-20T13:44:00Z" w16du:dateUtc="2025-05-20T12:44:00Z">
              <w:rPr>
                <w:rFonts w:ascii="Cambria Math" w:hAnsi="Cambria Math" w:cs="Arial"/>
                <w:szCs w:val="22"/>
                <w:vertAlign w:val="subscript"/>
              </w:rPr>
              <m:t>Local Annual Liability=Chargeable Capacity×Local Tariff</m:t>
            </w:ins>
          </m:r>
        </m:oMath>
      </m:oMathPara>
    </w:p>
    <w:p w14:paraId="242C6D79" w14:textId="77777777" w:rsidR="00A57AE6" w:rsidRDefault="00A57AE6" w:rsidP="000B6C0D">
      <w:pPr>
        <w:pStyle w:val="1"/>
        <w:jc w:val="both"/>
        <w:rPr>
          <w:rFonts w:cs="Arial"/>
          <w:szCs w:val="22"/>
          <w:vertAlign w:val="subscript"/>
        </w:rPr>
      </w:pP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Pr="00527073">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C41A51" w:rsidRPr="00C41A51">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556B6D" w:rsidRPr="00556B6D">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YRNS Tariff  = Wider Year Round Not-Shared Tariff</w:t>
      </w:r>
    </w:p>
    <w:p w14:paraId="3B4FA0FD" w14:textId="77777777" w:rsidR="00674102" w:rsidRDefault="00674102" w:rsidP="00674102">
      <w:pPr>
        <w:pStyle w:val="1"/>
        <w:ind w:left="1627"/>
        <w:jc w:val="both"/>
      </w:pPr>
      <w:r w:rsidRPr="000B6C0D">
        <w:t>YRS Tariff = Wider Year Round Shared Tariff</w:t>
      </w:r>
    </w:p>
    <w:p w14:paraId="78DFD4C3" w14:textId="77777777" w:rsidR="00527073" w:rsidRDefault="00527073" w:rsidP="00674102">
      <w:pPr>
        <w:pStyle w:val="1"/>
        <w:ind w:left="1627"/>
        <w:jc w:val="both"/>
        <w:rPr>
          <w:ins w:id="312" w:author="Martin Cahill [NESO]" w:date="2025-05-20T13:44:00Z" w16du:dateUtc="2025-05-20T12:44:00Z"/>
        </w:rPr>
      </w:pPr>
      <w:r>
        <w:t>Adj Tariff = Adjustment Tariff</w:t>
      </w:r>
    </w:p>
    <w:p w14:paraId="6D12FD4B" w14:textId="77777777" w:rsidR="00AC348D" w:rsidRDefault="00AC348D" w:rsidP="00674102">
      <w:pPr>
        <w:pStyle w:val="1"/>
        <w:ind w:left="1627"/>
        <w:jc w:val="both"/>
        <w:rPr>
          <w:ins w:id="313" w:author="Martin Cahill [NESO]" w:date="2025-05-20T13:44:00Z" w16du:dateUtc="2025-05-20T12:44:00Z"/>
        </w:rPr>
      </w:pPr>
    </w:p>
    <w:p w14:paraId="2FD18CC2" w14:textId="77777777" w:rsidR="00AC348D" w:rsidRPr="002C2140" w:rsidRDefault="00AC348D" w:rsidP="00AC348D">
      <w:pPr>
        <w:pStyle w:val="1"/>
        <w:ind w:left="1627"/>
        <w:jc w:val="both"/>
        <w:rPr>
          <w:ins w:id="314" w:author="Martin Cahill [NESO]" w:date="2025-05-20T13:44:00Z" w16du:dateUtc="2025-05-20T12:44:00Z"/>
        </w:rPr>
      </w:pPr>
      <w:ins w:id="315" w:author="Martin Cahill [NESO]" w:date="2025-05-20T13:44:00Z" w16du:dateUtc="2025-05-20T12:44:00Z">
        <w:r>
          <w:t>F</w:t>
        </w:r>
        <w:r w:rsidRPr="002C2140">
          <w:t xml:space="preserve">or a multi technology </w:t>
        </w:r>
        <w:r w:rsidRPr="002C2140">
          <w:rPr>
            <w:b/>
            <w:bCs/>
          </w:rPr>
          <w:t>Power Station</w:t>
        </w:r>
        <w:r w:rsidRPr="002C2140">
          <w:t xml:space="preserve"> the </w:t>
        </w:r>
        <w:r w:rsidRPr="002C2140">
          <w:rPr>
            <w:b/>
            <w:bCs/>
          </w:rPr>
          <w:t>Power Station’s</w:t>
        </w:r>
        <w:r w:rsidRPr="002C2140">
          <w:t xml:space="preserve"> </w:t>
        </w:r>
        <w:r w:rsidRPr="002C2140">
          <w:rPr>
            <w:b/>
            <w:bCs/>
          </w:rPr>
          <w:t>Transmission Entry Capacity</w:t>
        </w:r>
        <w:r w:rsidRPr="002C2140">
          <w:t xml:space="preserve"> is allocated across the different generation plant types, specifically:</w:t>
        </w:r>
      </w:ins>
    </w:p>
    <w:p w14:paraId="16B48496" w14:textId="77777777" w:rsidR="00AC348D" w:rsidRPr="002C2140" w:rsidRDefault="00AC348D" w:rsidP="00674102">
      <w:pPr>
        <w:pStyle w:val="1"/>
        <w:ind w:left="1627"/>
        <w:jc w:val="both"/>
        <w:rPr>
          <w:ins w:id="316" w:author="Martin Cahill [NESO]" w:date="2025-05-20T13:45:00Z" w16du:dateUtc="2025-05-20T12:45:00Z"/>
        </w:rPr>
      </w:pPr>
    </w:p>
    <w:p w14:paraId="6BA5D8AE" w14:textId="7888FDDB" w:rsidR="00C7082A" w:rsidRPr="00A006AF" w:rsidRDefault="00000000" w:rsidP="00C7082A">
      <w:pPr>
        <w:pStyle w:val="1"/>
        <w:jc w:val="center"/>
        <w:rPr>
          <w:ins w:id="317" w:author="Martin Cahill [NESO]" w:date="2025-05-20T13:45:00Z" w16du:dateUtc="2025-05-20T12:45:00Z"/>
        </w:rPr>
      </w:pPr>
      <m:oMathPara>
        <m:oMath>
          <m:sSub>
            <m:sSubPr>
              <m:ctrlPr>
                <w:ins w:id="318" w:author="Martin Cahill [NESO]" w:date="2025-05-20T13:45:00Z" w16du:dateUtc="2025-05-20T12:45:00Z">
                  <w:rPr>
                    <w:rFonts w:ascii="Cambria Math" w:hAnsi="Cambria Math"/>
                    <w:i/>
                  </w:rPr>
                </w:ins>
              </m:ctrlPr>
            </m:sSubPr>
            <m:e>
              <m:r>
                <w:ins w:id="319" w:author="Martin Cahill [NESO]" w:date="2025-05-20T13:45:00Z" w16du:dateUtc="2025-05-20T12:45:00Z">
                  <w:rPr>
                    <w:rFonts w:ascii="Cambria Math" w:hAnsi="Cambria Math"/>
                  </w:rPr>
                  <m:t>MTEC</m:t>
                </w:ins>
              </m:r>
            </m:e>
            <m:sub>
              <m:r>
                <w:ins w:id="320" w:author="Martin Cahill [NESO]" w:date="2025-05-20T13:45:00Z" w16du:dateUtc="2025-05-20T12:45:00Z">
                  <w:rPr>
                    <w:rFonts w:ascii="Cambria Math" w:hAnsi="Cambria Math"/>
                  </w:rPr>
                  <m:t>BMU</m:t>
                </w:ins>
              </m:r>
            </m:sub>
          </m:sSub>
          <m:r>
            <w:ins w:id="321" w:author="Martin Cahill [NESO]" w:date="2025-05-20T13:45:00Z" w16du:dateUtc="2025-05-20T12:45:00Z">
              <w:rPr>
                <w:rFonts w:ascii="Cambria Math" w:hAnsi="Cambria Math"/>
              </w:rPr>
              <m:t>=</m:t>
            </w:ins>
          </m:r>
          <m:f>
            <m:fPr>
              <m:ctrlPr>
                <w:ins w:id="322" w:author="Martin Cahill [NESO]" w:date="2025-05-20T13:45:00Z" w16du:dateUtc="2025-05-20T12:45:00Z">
                  <w:rPr>
                    <w:rFonts w:ascii="Cambria Math" w:hAnsi="Cambria Math"/>
                    <w:i/>
                  </w:rPr>
                </w:ins>
              </m:ctrlPr>
            </m:fPr>
            <m:num>
              <m:sSub>
                <m:sSubPr>
                  <m:ctrlPr>
                    <w:ins w:id="323" w:author="Martin Cahill [NESO]" w:date="2025-05-20T13:45:00Z" w16du:dateUtc="2025-05-20T12:45:00Z">
                      <w:rPr>
                        <w:rFonts w:ascii="Cambria Math" w:hAnsi="Cambria Math"/>
                        <w:i/>
                      </w:rPr>
                    </w:ins>
                  </m:ctrlPr>
                </m:sSubPr>
                <m:e>
                  <m:r>
                    <w:ins w:id="324" w:author="Martin Cahill [NESO]" w:date="2025-05-20T13:45:00Z" w16du:dateUtc="2025-05-20T12:45:00Z">
                      <w:rPr>
                        <w:rFonts w:ascii="Cambria Math" w:hAnsi="Cambria Math"/>
                      </w:rPr>
                      <m:t>CAP</m:t>
                    </w:ins>
                  </m:r>
                </m:e>
                <m:sub>
                  <m:r>
                    <w:ins w:id="325" w:author="Martin Cahill [NESO]" w:date="2025-05-20T13:45:00Z" w16du:dateUtc="2025-05-20T12:45:00Z">
                      <w:rPr>
                        <w:rFonts w:ascii="Cambria Math" w:hAnsi="Cambria Math"/>
                      </w:rPr>
                      <m:t>BMU</m:t>
                    </w:ins>
                  </m:r>
                </m:sub>
              </m:sSub>
            </m:num>
            <m:den>
              <m:nary>
                <m:naryPr>
                  <m:chr m:val="∑"/>
                  <m:limLoc m:val="undOvr"/>
                  <m:ctrlPr>
                    <w:ins w:id="326" w:author="Martin Cahill [NESO]" w:date="2025-05-20T13:45:00Z" w16du:dateUtc="2025-05-20T12:45:00Z">
                      <w:rPr>
                        <w:rFonts w:ascii="Cambria Math" w:hAnsi="Cambria Math"/>
                        <w:i/>
                      </w:rPr>
                    </w:ins>
                  </m:ctrlPr>
                </m:naryPr>
                <m:sub>
                  <m:r>
                    <w:ins w:id="327" w:author="Martin Cahill [NESO]" w:date="2025-05-20T13:45:00Z" w16du:dateUtc="2025-05-20T12:45:00Z">
                      <w:rPr>
                        <w:rFonts w:ascii="Cambria Math" w:hAnsi="Cambria Math"/>
                      </w:rPr>
                      <m:t>BMU=1</m:t>
                    </w:ins>
                  </m:r>
                </m:sub>
                <m:sup>
                  <m:r>
                    <w:ins w:id="328" w:author="Martin Cahill [NESO]" w:date="2025-05-20T13:45:00Z" w16du:dateUtc="2025-05-20T12:45:00Z">
                      <w:rPr>
                        <w:rFonts w:ascii="Cambria Math" w:hAnsi="Cambria Math"/>
                      </w:rPr>
                      <m:t>n</m:t>
                    </w:ins>
                  </m:r>
                </m:sup>
                <m:e>
                  <m:sSub>
                    <m:sSubPr>
                      <m:ctrlPr>
                        <w:ins w:id="329" w:author="Martin Cahill [NESO]" w:date="2025-05-20T13:45:00Z" w16du:dateUtc="2025-05-20T12:45:00Z">
                          <w:rPr>
                            <w:rFonts w:ascii="Cambria Math" w:hAnsi="Cambria Math"/>
                            <w:i/>
                          </w:rPr>
                        </w:ins>
                      </m:ctrlPr>
                    </m:sSubPr>
                    <m:e>
                      <m:r>
                        <w:ins w:id="330" w:author="Martin Cahill [NESO]" w:date="2025-05-20T13:45:00Z" w16du:dateUtc="2025-05-20T12:45:00Z">
                          <w:rPr>
                            <w:rFonts w:ascii="Cambria Math" w:hAnsi="Cambria Math"/>
                          </w:rPr>
                          <m:t>CAP</m:t>
                        </w:ins>
                      </m:r>
                    </m:e>
                    <m:sub>
                      <m:r>
                        <w:ins w:id="331" w:author="Martin Cahill [NESO]" w:date="2025-05-20T13:45:00Z" w16du:dateUtc="2025-05-20T12:45:00Z">
                          <w:rPr>
                            <w:rFonts w:ascii="Cambria Math" w:hAnsi="Cambria Math"/>
                          </w:rPr>
                          <m:t>BMU</m:t>
                        </w:ins>
                      </m:r>
                    </m:sub>
                  </m:sSub>
                </m:e>
              </m:nary>
            </m:den>
          </m:f>
          <m:r>
            <w:ins w:id="332" w:author="Martin Cahill [NESO]" w:date="2025-05-20T13:45:00Z" w16du:dateUtc="2025-05-20T12:45:00Z">
              <w:rPr>
                <w:rFonts w:ascii="Cambria Math" w:hAnsi="Cambria Math"/>
              </w:rPr>
              <m:t>×</m:t>
            </w:ins>
          </m:r>
          <m:r>
            <w:ins w:id="333" w:author="Martin Cahill [NESO]" w:date="2025-05-20T13:46:00Z" w16du:dateUtc="2025-05-20T12:46:00Z">
              <w:rPr>
                <w:rFonts w:ascii="Cambria Math" w:hAnsi="Cambria Math"/>
              </w:rPr>
              <m:t>TEC</m:t>
            </w:ins>
          </m:r>
        </m:oMath>
      </m:oMathPara>
    </w:p>
    <w:p w14:paraId="2AB6C4AC" w14:textId="77777777" w:rsidR="00C27495" w:rsidRDefault="00C27495" w:rsidP="00674102">
      <w:pPr>
        <w:pStyle w:val="1"/>
        <w:ind w:left="1627"/>
        <w:jc w:val="both"/>
      </w:pPr>
    </w:p>
    <w:p w14:paraId="5ACA88F1" w14:textId="3CA0F917" w:rsidR="00DA1626" w:rsidRDefault="00DA1626" w:rsidP="00DA1626">
      <w:pPr>
        <w:pStyle w:val="1"/>
        <w:ind w:left="1627"/>
        <w:jc w:val="both"/>
        <w:rPr>
          <w:ins w:id="334" w:author="Martin Cahill [NESO]" w:date="2025-05-20T13:47:00Z" w16du:dateUtc="2025-05-20T12:47:00Z"/>
        </w:rPr>
      </w:pPr>
      <w:ins w:id="335" w:author="Martin Cahill [NESO]" w:date="2025-05-20T13:47:00Z" w16du:dateUtc="2025-05-20T12:47:00Z">
        <w:r>
          <w:t>Where;</w:t>
        </w:r>
      </w:ins>
    </w:p>
    <w:p w14:paraId="26F46922" w14:textId="0AFCADD4" w:rsidR="00DA1626" w:rsidRPr="002C2140" w:rsidRDefault="00DA1626" w:rsidP="00DA1626">
      <w:pPr>
        <w:pStyle w:val="1"/>
        <w:ind w:left="1627"/>
        <w:jc w:val="both"/>
        <w:rPr>
          <w:ins w:id="336" w:author="Martin Cahill [NESO]" w:date="2025-05-20T13:47:00Z" w16du:dateUtc="2025-05-20T12:47:00Z"/>
        </w:rPr>
      </w:pPr>
      <w:ins w:id="337" w:author="Martin Cahill [NESO]" w:date="2025-05-20T13:47:00Z" w16du:dateUtc="2025-05-20T12:47:00Z">
        <w:r w:rsidRPr="002C2140">
          <w:t>MTEC</w:t>
        </w:r>
        <w:r w:rsidRPr="002C2140">
          <w:rPr>
            <w:vertAlign w:val="subscript"/>
          </w:rPr>
          <w:t>BMU</w:t>
        </w:r>
        <w:r w:rsidRPr="002C2140">
          <w:t xml:space="preserve"> = Multi technology </w:t>
        </w:r>
        <w:r w:rsidRPr="002C2140">
          <w:rPr>
            <w:b/>
            <w:bCs/>
          </w:rPr>
          <w:t>Power Station</w:t>
        </w:r>
        <w:r w:rsidRPr="002C2140">
          <w:t xml:space="preserve">’s TEC for a specific </w:t>
        </w:r>
        <w:r w:rsidRPr="002C2140">
          <w:rPr>
            <w:b/>
            <w:bCs/>
          </w:rPr>
          <w:t>BM Unit</w:t>
        </w:r>
      </w:ins>
    </w:p>
    <w:p w14:paraId="09720031" w14:textId="620F5AF9" w:rsidR="00DA1626" w:rsidRPr="002C2140" w:rsidRDefault="00DA1626" w:rsidP="00DA1626">
      <w:pPr>
        <w:pStyle w:val="1"/>
        <w:ind w:left="1627"/>
        <w:jc w:val="both"/>
        <w:rPr>
          <w:ins w:id="338" w:author="Martin Cahill [NESO]" w:date="2025-05-20T13:47:00Z" w16du:dateUtc="2025-05-20T12:47:00Z"/>
        </w:rPr>
      </w:pPr>
      <w:ins w:id="339" w:author="Martin Cahill [NESO]" w:date="2025-05-20T13:47:00Z" w16du:dateUtc="2025-05-20T12:47:00Z">
        <w:r w:rsidRPr="002C2140">
          <w:t>CAP</w:t>
        </w:r>
        <w:r w:rsidRPr="002C2140">
          <w:rPr>
            <w:vertAlign w:val="subscript"/>
          </w:rPr>
          <w:t>BMU</w:t>
        </w:r>
      </w:ins>
      <w:r w:rsidR="006D2144">
        <w:rPr>
          <w:vertAlign w:val="subscript"/>
        </w:rPr>
        <w:t xml:space="preserve"> </w:t>
      </w:r>
      <w:ins w:id="340" w:author="Martin Cahill [NESO]" w:date="2025-05-20T13:47:00Z" w16du:dateUtc="2025-05-20T12:47:00Z">
        <w:r w:rsidRPr="002C2140">
          <w:t xml:space="preserve">= </w:t>
        </w:r>
        <w:r w:rsidRPr="002C2140">
          <w:rPr>
            <w:b/>
            <w:bCs/>
          </w:rPr>
          <w:t>Installed Capacity</w:t>
        </w:r>
        <w:r w:rsidRPr="002C2140">
          <w:t xml:space="preserve"> a specific </w:t>
        </w:r>
        <w:r w:rsidRPr="002C2140">
          <w:rPr>
            <w:b/>
            <w:bCs/>
          </w:rPr>
          <w:t>BM Unit</w:t>
        </w:r>
        <w:r w:rsidRPr="002C2140">
          <w:t xml:space="preserve"> (or the average of maximum </w:t>
        </w:r>
        <w:r w:rsidRPr="002C2140">
          <w:rPr>
            <w:b/>
            <w:bCs/>
          </w:rPr>
          <w:t>BM Unit</w:t>
        </w:r>
        <w:r w:rsidRPr="002C2140">
          <w:t xml:space="preserve"> metered values where there is a negative tariff, as per the negative methodology below).</w:t>
        </w:r>
      </w:ins>
    </w:p>
    <w:p w14:paraId="757E0C2C" w14:textId="45071B5D" w:rsidR="00DA1626" w:rsidRPr="002C2140" w:rsidRDefault="00DA1626" w:rsidP="00DA1626">
      <w:pPr>
        <w:pStyle w:val="1"/>
        <w:ind w:left="1627"/>
        <w:jc w:val="both"/>
        <w:rPr>
          <w:ins w:id="341" w:author="Martin Cahill [NESO]" w:date="2025-05-20T13:47:00Z" w16du:dateUtc="2025-05-20T12:47:00Z"/>
        </w:rPr>
      </w:pPr>
      <w:ins w:id="342" w:author="Martin Cahill [NESO]" w:date="2025-05-20T13:47:00Z" w16du:dateUtc="2025-05-20T12:47:00Z">
        <w:r w:rsidRPr="002C2140">
          <w:t>TEC</w:t>
        </w:r>
      </w:ins>
      <w:del w:id="343" w:author="Martin Cahill [NESO]" w:date="2025-05-20T13:51:00Z" w16du:dateUtc="2025-05-20T12:51:00Z">
        <w:r w:rsidR="00123018" w:rsidRPr="00200BE2" w:rsidDel="00123018">
          <w:delText>s</w:delText>
        </w:r>
      </w:del>
      <w:ins w:id="344" w:author="Martin Cahill [NESO]" w:date="2025-05-20T13:47:00Z" w16du:dateUtc="2025-05-20T12:47:00Z">
        <w:r w:rsidRPr="002C2140">
          <w:t xml:space="preserve"> = TEC of </w:t>
        </w:r>
        <w:r w:rsidRPr="002C2140">
          <w:rPr>
            <w:b/>
            <w:bCs/>
          </w:rPr>
          <w:t>Power Station</w:t>
        </w:r>
        <w:r w:rsidRPr="002C2140">
          <w:t xml:space="preserve"> as defined in the </w:t>
        </w:r>
        <w:r w:rsidRPr="002C2140">
          <w:rPr>
            <w:b/>
            <w:bCs/>
          </w:rPr>
          <w:t>Bilateral Connection Agreement</w:t>
        </w:r>
        <w:r w:rsidRPr="002C2140">
          <w:t xml:space="preserve"> or </w:t>
        </w:r>
        <w:r w:rsidRPr="002C2140">
          <w:rPr>
            <w:b/>
            <w:bCs/>
          </w:rPr>
          <w:t>Bilateral Embedded Generation Agreement</w:t>
        </w:r>
        <w:r w:rsidRPr="002C2140">
          <w:t xml:space="preserve"> (or the average of maximum </w:t>
        </w:r>
        <w:r w:rsidRPr="002C2140">
          <w:rPr>
            <w:b/>
            <w:bCs/>
          </w:rPr>
          <w:t>Power Station</w:t>
        </w:r>
        <w:r w:rsidRPr="002C2140">
          <w:t xml:space="preserve"> metered values where there is a negative tariff, as per the negative methodology).</w:t>
        </w:r>
      </w:ins>
    </w:p>
    <w:p w14:paraId="7FA5F2E9" w14:textId="117E2A3F" w:rsidR="00DA1626" w:rsidRPr="002C2140" w:rsidRDefault="00DA1626" w:rsidP="00DA1626">
      <w:pPr>
        <w:pStyle w:val="1"/>
        <w:ind w:left="1627"/>
        <w:jc w:val="both"/>
        <w:rPr>
          <w:ins w:id="345" w:author="Martin Cahill [NESO]" w:date="2025-05-20T13:47:00Z" w16du:dateUtc="2025-05-20T12:47:00Z"/>
        </w:rPr>
      </w:pPr>
      <w:ins w:id="346" w:author="Martin Cahill [NESO]" w:date="2025-05-20T13:47:00Z" w16du:dateUtc="2025-05-20T12:47:00Z">
        <w:r w:rsidRPr="002C2140">
          <w:t xml:space="preserve">n = </w:t>
        </w:r>
      </w:ins>
      <w:ins w:id="347" w:author="Martin Cahill [NESO]" w:date="2025-06-18T16:46:00Z" w16du:dateUtc="2025-06-18T15:46:00Z">
        <w:r w:rsidR="00200BE2">
          <w:t xml:space="preserve">number of </w:t>
        </w:r>
      </w:ins>
      <w:ins w:id="348" w:author="Martin Cahill [NESO]" w:date="2025-05-20T13:47:00Z" w16du:dateUtc="2025-05-20T12:47:00Z">
        <w:r w:rsidRPr="002C2140">
          <w:rPr>
            <w:b/>
            <w:bCs/>
          </w:rPr>
          <w:t>BM Units</w:t>
        </w:r>
        <w:r w:rsidRPr="002C2140">
          <w:t xml:space="preserve"> at the multi technology </w:t>
        </w:r>
        <w:r w:rsidRPr="002C2140">
          <w:rPr>
            <w:b/>
            <w:bCs/>
          </w:rPr>
          <w:t>Power Station</w:t>
        </w:r>
      </w:ins>
      <w:r w:rsidR="006D2144" w:rsidRPr="00200BE2">
        <w:t>.</w:t>
      </w:r>
    </w:p>
    <w:p w14:paraId="1C64C976" w14:textId="77777777" w:rsidR="00DA1626" w:rsidRPr="002C2140" w:rsidRDefault="00DA1626" w:rsidP="00DA1626">
      <w:pPr>
        <w:pStyle w:val="1"/>
        <w:ind w:left="1627"/>
        <w:jc w:val="both"/>
        <w:rPr>
          <w:ins w:id="349" w:author="Martin Cahill [NESO]" w:date="2025-05-20T13:47:00Z" w16du:dateUtc="2025-05-20T12:47:00Z"/>
        </w:rPr>
      </w:pPr>
    </w:p>
    <w:p w14:paraId="61916E3C" w14:textId="400B48D7" w:rsidR="00DA1626" w:rsidRDefault="00DA1626" w:rsidP="00DA1626">
      <w:pPr>
        <w:pStyle w:val="1"/>
        <w:ind w:left="1627"/>
        <w:jc w:val="both"/>
        <w:rPr>
          <w:ins w:id="350" w:author="Martin Cahill [NESO]" w:date="2025-05-20T13:47:00Z" w16du:dateUtc="2025-05-20T12:47:00Z"/>
        </w:rPr>
      </w:pPr>
      <w:ins w:id="351" w:author="Martin Cahill [NESO]" w:date="2025-05-20T13:47:00Z" w16du:dateUtc="2025-05-20T12:47:00Z">
        <w:r w:rsidRPr="002C2140">
          <w:t xml:space="preserve">For a multi technology </w:t>
        </w:r>
        <w:r w:rsidRPr="002C2140">
          <w:rPr>
            <w:b/>
            <w:bCs/>
          </w:rPr>
          <w:t>Power Station</w:t>
        </w:r>
        <w:r w:rsidRPr="002C2140">
          <w:t xml:space="preserve">’s wider liability, the chargeable </w:t>
        </w:r>
        <w:r w:rsidRPr="0055572B">
          <w:t>capacity</w:t>
        </w:r>
        <w:r w:rsidRPr="002C2140">
          <w:t xml:space="preserve"> associated with each </w:t>
        </w:r>
        <w:r w:rsidRPr="002C2140">
          <w:rPr>
            <w:b/>
            <w:bCs/>
          </w:rPr>
          <w:t>BM Unit</w:t>
        </w:r>
        <w:r w:rsidRPr="002C2140">
          <w:t xml:space="preserve"> is the MTEC</w:t>
        </w:r>
        <w:r w:rsidRPr="002C2140">
          <w:rPr>
            <w:vertAlign w:val="subscript"/>
          </w:rPr>
          <w:t>BMU</w:t>
        </w:r>
        <w:r w:rsidRPr="002C2140">
          <w:t xml:space="preserve">. The charge for a multi technology </w:t>
        </w:r>
        <w:r w:rsidRPr="002C2140">
          <w:rPr>
            <w:b/>
            <w:bCs/>
          </w:rPr>
          <w:t>Power Station</w:t>
        </w:r>
        <w:r w:rsidRPr="002C2140">
          <w:t xml:space="preserve"> will be calculated as the summation of all individual</w:t>
        </w:r>
      </w:ins>
      <w:ins w:id="352" w:author="Martin Cahill [NESO]" w:date="2025-05-20T13:53:00Z" w16du:dateUtc="2025-05-20T12:53:00Z">
        <w:r w:rsidR="008E602D" w:rsidRPr="002C2140">
          <w:t xml:space="preserve"> </w:t>
        </w:r>
      </w:ins>
      <w:ins w:id="353" w:author="Martin Cahill [NESO]" w:date="2025-05-20T13:47:00Z" w16du:dateUtc="2025-05-20T12:47:00Z">
        <w:r w:rsidRPr="002C2140">
          <w:rPr>
            <w:b/>
            <w:bCs/>
          </w:rPr>
          <w:t>BM Unit</w:t>
        </w:r>
        <w:r w:rsidRPr="002C2140">
          <w:t xml:space="preserve"> liabilities as calculated using </w:t>
        </w:r>
      </w:ins>
      <w:ins w:id="354" w:author="Martin Cahill [NESO]" w:date="2025-06-04T17:28:00Z" w16du:dateUtc="2025-06-04T16:28:00Z">
        <w:r w:rsidR="00EB421F" w:rsidRPr="002C2140">
          <w:t>M</w:t>
        </w:r>
      </w:ins>
      <w:ins w:id="355" w:author="Martin Cahill [NESO]" w:date="2025-05-20T13:47:00Z" w16du:dateUtc="2025-05-20T12:47:00Z">
        <w:r w:rsidRPr="002C2140">
          <w:t>TEC</w:t>
        </w:r>
        <w:r w:rsidRPr="002C2140">
          <w:rPr>
            <w:vertAlign w:val="subscript"/>
          </w:rPr>
          <w:t>BMU</w:t>
        </w:r>
        <w:r w:rsidRPr="002C2140">
          <w:t>.</w:t>
        </w:r>
      </w:ins>
    </w:p>
    <w:p w14:paraId="233EE0BF" w14:textId="77777777" w:rsidR="00DA1626" w:rsidRDefault="00DA1626" w:rsidP="00DA1626">
      <w:pPr>
        <w:pStyle w:val="1"/>
        <w:ind w:left="1627"/>
        <w:jc w:val="both"/>
        <w:rPr>
          <w:ins w:id="356" w:author="Martin Cahill [NESO]" w:date="2025-05-20T13:47:00Z" w16du:dateUtc="2025-05-20T12:47:00Z"/>
        </w:rPr>
      </w:pPr>
    </w:p>
    <w:p w14:paraId="3E40B6E9" w14:textId="77777777" w:rsidR="00DA1626" w:rsidRPr="00F231B2" w:rsidRDefault="00DA1626" w:rsidP="00DA1626">
      <w:pPr>
        <w:pStyle w:val="1"/>
        <w:ind w:left="1627"/>
        <w:jc w:val="both"/>
        <w:rPr>
          <w:ins w:id="357" w:author="Martin Cahill [NESO]" w:date="2025-05-20T13:47:00Z" w16du:dateUtc="2025-05-20T12:47:00Z"/>
          <w:u w:val="single"/>
        </w:rPr>
      </w:pPr>
      <w:ins w:id="358" w:author="Martin Cahill [NESO]" w:date="2025-05-20T13:47:00Z" w16du:dateUtc="2025-05-20T12:47:00Z">
        <w:r w:rsidRPr="00F231B2">
          <w:rPr>
            <w:u w:val="single"/>
          </w:rPr>
          <w:t>Negative Methodology</w:t>
        </w:r>
      </w:ins>
    </w:p>
    <w:p w14:paraId="53B5D2F9" w14:textId="77777777" w:rsidR="00DA1626" w:rsidRDefault="00DA1626" w:rsidP="00DA1626">
      <w:pPr>
        <w:pStyle w:val="1"/>
        <w:ind w:left="1627"/>
        <w:jc w:val="both"/>
        <w:rPr>
          <w:ins w:id="359" w:author="Martin Cahill [NESO]" w:date="2025-05-20T13:47:00Z" w16du:dateUtc="2025-05-20T12:47:00Z"/>
        </w:rPr>
      </w:pPr>
    </w:p>
    <w:p w14:paraId="016B7B7E" w14:textId="1F1CAB43" w:rsidR="00DA1626" w:rsidRDefault="00DA1626" w:rsidP="00DA1626">
      <w:pPr>
        <w:pStyle w:val="1"/>
        <w:ind w:left="1627"/>
        <w:jc w:val="both"/>
        <w:rPr>
          <w:ins w:id="360" w:author="Martin Cahill [NESO]" w:date="2025-05-20T13:47:00Z" w16du:dateUtc="2025-05-20T12:47:00Z"/>
        </w:rPr>
      </w:pPr>
      <w:ins w:id="361" w:author="Martin Cahill [NESO]" w:date="2025-05-20T13:47:00Z" w16du:dateUtc="2025-05-20T12:47:00Z">
        <w:r>
          <w:t>W</w:t>
        </w:r>
        <w:r w:rsidRPr="00A2374C">
          <w:t xml:space="preserve">hen any of the </w:t>
        </w:r>
        <w:r w:rsidRPr="00A2374C">
          <w:rPr>
            <w:b/>
            <w:bCs/>
          </w:rPr>
          <w:t>BM Units</w:t>
        </w:r>
        <w:r w:rsidRPr="00A2374C">
          <w:t xml:space="preserve"> at a </w:t>
        </w:r>
        <w:r w:rsidRPr="00A2374C">
          <w:rPr>
            <w:b/>
            <w:bCs/>
          </w:rPr>
          <w:t>Power Station</w:t>
        </w:r>
        <w:r w:rsidRPr="00A2374C">
          <w:t xml:space="preserve"> are initially calculated to have a negative tariff, the final charge will be calculated using different capacity inputs to MTEC. CAP</w:t>
        </w:r>
        <w:r w:rsidRPr="00A2374C">
          <w:rPr>
            <w:vertAlign w:val="subscript"/>
          </w:rPr>
          <w:t>BMU</w:t>
        </w:r>
        <w:r w:rsidRPr="00A2374C">
          <w:t xml:space="preserve"> in the above equation will use maximum metered volumes for each </w:t>
        </w:r>
        <w:r w:rsidRPr="00A2374C">
          <w:rPr>
            <w:b/>
            <w:bCs/>
          </w:rPr>
          <w:t>BM Unit</w:t>
        </w:r>
        <w:r w:rsidRPr="00A2374C">
          <w:t xml:space="preserve"> instead of </w:t>
        </w:r>
        <w:r w:rsidRPr="00A2374C">
          <w:rPr>
            <w:b/>
            <w:bCs/>
          </w:rPr>
          <w:t>Installed Capacity</w:t>
        </w:r>
        <w:r w:rsidRPr="00A2374C">
          <w:t xml:space="preserve">. These will be the average of the capped metered volumes during the three </w:t>
        </w:r>
        <w:r w:rsidRPr="00A2374C">
          <w:rPr>
            <w:b/>
            <w:bCs/>
          </w:rPr>
          <w:t>Settlement Periods</w:t>
        </w:r>
      </w:ins>
      <w:ins w:id="362" w:author="Martin Cahill [NESO]" w:date="2025-05-20T13:56:00Z" w16du:dateUtc="2025-05-20T12:56:00Z">
        <w:r w:rsidR="00F00CEA" w:rsidRPr="00A2374C">
          <w:rPr>
            <w:b/>
            <w:bCs/>
          </w:rPr>
          <w:t xml:space="preserve"> </w:t>
        </w:r>
      </w:ins>
      <w:ins w:id="363" w:author="Martin Cahill [NESO]" w:date="2025-05-20T13:47:00Z" w16du:dateUtc="2025-05-20T12:47:00Z">
        <w:r w:rsidRPr="00A2374C">
          <w:t xml:space="preserve">described in 14.18.14 for the Power Station (instead of TEC in the above formulas) and </w:t>
        </w:r>
        <w:r w:rsidRPr="00A2374C">
          <w:rPr>
            <w:b/>
            <w:bCs/>
          </w:rPr>
          <w:t xml:space="preserve">BM Units </w:t>
        </w:r>
        <w:r w:rsidRPr="00A2374C">
          <w:t>(instead of CAP</w:t>
        </w:r>
        <w:r w:rsidRPr="00A2374C">
          <w:rPr>
            <w:vertAlign w:val="subscript"/>
          </w:rPr>
          <w:t>BMU</w:t>
        </w:r>
        <w:r w:rsidRPr="00A2374C">
          <w:t xml:space="preserve"> in the above formulas).</w:t>
        </w:r>
      </w:ins>
    </w:p>
    <w:p w14:paraId="3DF2284A" w14:textId="136D4CDE" w:rsidR="00674102" w:rsidRDefault="00674102" w:rsidP="0055572B">
      <w:pPr>
        <w:pStyle w:val="1"/>
        <w:tabs>
          <w:tab w:val="left" w:pos="1620"/>
        </w:tabs>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pro rated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tariff changes from being positive to negative or vice versa, the Chargeable Capacity for the entire </w:t>
      </w:r>
      <w:r w:rsidR="00A3322B" w:rsidRPr="00A3322B">
        <w:rPr>
          <w:b/>
        </w:rPr>
        <w:t>Financial Year</w:t>
      </w:r>
      <w:r>
        <w:t xml:space="preserve"> will be determined based on the net position of the pro rated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364" w:name="_Toc274049717"/>
      <w:r>
        <w:t>Basis of Wider Generation Charges</w:t>
      </w:r>
      <w:bookmarkEnd w:id="306"/>
      <w:bookmarkEnd w:id="307"/>
      <w:bookmarkEnd w:id="364"/>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365" w:name="_Toc274049718"/>
      <w:r w:rsidRPr="00887323">
        <w:rPr>
          <w:rFonts w:ascii="Arial" w:hAnsi="Arial" w:cs="Arial"/>
          <w:b/>
        </w:rPr>
        <w:t>Generation with positive wider tariffs</w:t>
      </w:r>
      <w:bookmarkEnd w:id="365"/>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366" w:name="_Ref272935596"/>
      <w:r>
        <w:t>The short-term chargeable capacity for Power Stations situated with positive generation tariffs is any approved STTEC or LDTEC applicable to that Power Station during a valid STTEC Period or LDTEC Period, as appropriate.</w:t>
      </w:r>
      <w:bookmarkEnd w:id="366"/>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369" w:name="_Toc49661143"/>
      <w:bookmarkStart w:id="370" w:name="_Toc274049719"/>
      <w:r w:rsidRPr="004248A1">
        <w:rPr>
          <w:rFonts w:ascii="Arial" w:hAnsi="Arial" w:cs="Arial"/>
          <w:b/>
        </w:rPr>
        <w:t xml:space="preserve">Generation with negative wider </w:t>
      </w:r>
      <w:bookmarkEnd w:id="369"/>
      <w:r w:rsidRPr="004248A1">
        <w:rPr>
          <w:rFonts w:ascii="Arial" w:hAnsi="Arial" w:cs="Arial"/>
          <w:b/>
        </w:rPr>
        <w:t>tariffs</w:t>
      </w:r>
      <w:bookmarkEnd w:id="370"/>
    </w:p>
    <w:p w14:paraId="5B84D42C" w14:textId="77777777" w:rsidR="006661FE" w:rsidRDefault="006661FE" w:rsidP="007D27B2">
      <w:pPr>
        <w:pStyle w:val="1"/>
        <w:numPr>
          <w:ilvl w:val="0"/>
          <w:numId w:val="73"/>
        </w:numPr>
        <w:jc w:val="both"/>
      </w:pPr>
      <w:bookmarkStart w:id="371"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For the avoidance of doubt, TNUoS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372"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372"/>
    </w:p>
    <w:bookmarkEnd w:id="371"/>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As noted above, a negative LDTEC tariff in negative generation charging zones is set to zero.  Accordingly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373" w:name="_Toc274049720"/>
      <w:r>
        <w:t>Basis of Local Generation Charges</w:t>
      </w:r>
      <w:bookmarkEnd w:id="373"/>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374" w:name="_Toc497131273"/>
      <w:bookmarkStart w:id="375" w:name="_Toc32201095"/>
      <w:bookmarkStart w:id="376" w:name="_Toc49661145"/>
      <w:bookmarkStart w:id="377" w:name="_Toc274049722"/>
      <w:bookmarkStart w:id="378" w:name="_Hlt497625183"/>
      <w:r>
        <w:t>Monthly Charges</w:t>
      </w:r>
      <w:bookmarkEnd w:id="374"/>
      <w:bookmarkEnd w:id="375"/>
      <w:bookmarkEnd w:id="376"/>
      <w:bookmarkEnd w:id="377"/>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379" w:name="_Hlt532284319"/>
      <w:bookmarkStart w:id="380" w:name="_Ref272933161"/>
      <w:bookmarkEnd w:id="379"/>
      <w:r>
        <w:t xml:space="preserve">Initial Transmission Network Use of System Generation Charges for each </w:t>
      </w:r>
      <w:r w:rsidR="00A3322B" w:rsidRPr="00A3322B">
        <w:rPr>
          <w:b/>
        </w:rPr>
        <w:t>Financial Year</w:t>
      </w:r>
      <w:r>
        <w:t xml:space="preserve"> will be based on the Power Station Transmission Entry Capacity (TEC)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380"/>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381" w:name="_Toc274049723"/>
      <w:r>
        <w:t>Ad hoc Charges</w:t>
      </w:r>
      <w:bookmarkEnd w:id="381"/>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r>
        <w:t>i)</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ged on a monthly basis.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0"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382" w:name="_Toc274049724"/>
      <w:r w:rsidRPr="00FE2E3E">
        <w:t>Embedded Transmission Use of System Charges “ETUoS”</w:t>
      </w:r>
      <w:bookmarkEnd w:id="382"/>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383" w:name="_Ref272933204"/>
      <w:r>
        <w:t>The ETUoS charges are a component of Use of System charges levied on offshore generators whose offshore transmission connection is embedded in an onshore distribution network.  The charge relates to the provision and use of the onshore distribution network.</w:t>
      </w:r>
      <w:bookmarkEnd w:id="383"/>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The main purpose of ETUoS charges is to pass through the charges that are levied by the DNO on the NETSO to the offshore generator(s).  This charge</w:t>
      </w:r>
      <w:r w:rsidR="006D5F93">
        <w:t>,</w:t>
      </w:r>
      <w:r>
        <w:t xml:space="preserve"> </w:t>
      </w:r>
      <w:r w:rsidR="007256FB" w:rsidRPr="007256FB">
        <w:t>known as the ETUoS</w:t>
      </w:r>
      <w:r w:rsidR="00E47856" w:rsidRPr="00CD5631">
        <w:rPr>
          <w:u w:val="single"/>
          <w:vertAlign w:val="subscript"/>
        </w:rPr>
        <w:t>DNO</w:t>
      </w:r>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In the case of some relevant transitional offshore generation projects, ETUoS will also be used to pass through historic DNO capital contributions forming part of the Offshore Transmission Owner tender revenue stream</w:t>
      </w:r>
      <w:r w:rsidR="007256FB">
        <w:t xml:space="preserve">, </w:t>
      </w:r>
      <w:r w:rsidR="007256FB" w:rsidRPr="007256FB">
        <w:t xml:space="preserve">this is known as the </w:t>
      </w:r>
      <w:r w:rsidR="007256FB" w:rsidRPr="00BA0D43">
        <w:t>ETUoS</w:t>
      </w:r>
      <w:r w:rsidR="00E47856" w:rsidRPr="00CD5631">
        <w:rPr>
          <w:u w:val="single"/>
          <w:vertAlign w:val="subscript"/>
        </w:rPr>
        <w:t>OFTO</w:t>
      </w:r>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The ETUoS</w:t>
      </w:r>
      <w:r w:rsidR="00EA1182" w:rsidRPr="00CD5631">
        <w:rPr>
          <w:u w:val="single"/>
          <w:vertAlign w:val="subscript"/>
        </w:rPr>
        <w:t>OFTO</w:t>
      </w:r>
      <w:r w:rsidRPr="00BA0D43">
        <w:t xml:space="preserve"> tariff shall be the ratio of the Offshore Transmission Owner revenue (£) associated with DNO capital contributions and the 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In the year of asset transfer to the OFTO, the ETUoS</w:t>
      </w:r>
      <w:r w:rsidRPr="00CD5631">
        <w:rPr>
          <w:rFonts w:ascii="Arial (W1)" w:hAnsi="Arial (W1)"/>
          <w:sz w:val="22"/>
          <w:u w:val="single"/>
          <w:vertAlign w:val="subscript"/>
          <w:lang w:eastAsia="en-US"/>
        </w:rPr>
        <w:t>OFTO</w:t>
      </w:r>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000000" w:rsidP="00F1129E">
      <w:pPr>
        <w:jc w:val="center"/>
        <w:rPr>
          <w:u w:val="single"/>
        </w:rPr>
      </w:pPr>
      <m:oMathPara>
        <m:oMath>
          <m:f>
            <m:fPr>
              <m:ctrlPr>
                <w:rPr>
                  <w:rFonts w:ascii="Cambria Math" w:hAnsi="Cambria Math"/>
                  <w:i/>
                  <w:sz w:val="22"/>
                  <w:szCs w:val="22"/>
                </w:rPr>
              </m:ctrlPr>
            </m:fPr>
            <m:num>
              <m:r>
                <w:rPr>
                  <w:rFonts w:ascii="Cambria Math" w:hAnsi="Cambria Math"/>
                </w:rPr>
                <m:t>DNRevOFTO1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In all subsequent years, the ETUoS</w:t>
      </w:r>
      <w:r w:rsidRPr="00CD5631">
        <w:rPr>
          <w:u w:val="single"/>
          <w:vertAlign w:val="subscript"/>
        </w:rPr>
        <w:t>OFTO</w:t>
      </w:r>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r w:rsidRPr="00CC06E2">
        <w:rPr>
          <w:rFonts w:ascii="Arial (W1)" w:hAnsi="Arial (W1)"/>
          <w:sz w:val="22"/>
          <w:lang w:eastAsia="en-US"/>
        </w:rPr>
        <w:t>ETUoS</w:t>
      </w:r>
      <w:r w:rsidRPr="00CD5631">
        <w:rPr>
          <w:rFonts w:ascii="Arial (W1)" w:hAnsi="Arial (W1)"/>
          <w:sz w:val="22"/>
          <w:u w:val="single"/>
          <w:vertAlign w:val="subscript"/>
          <w:lang w:eastAsia="en-US"/>
        </w:rPr>
        <w:t>OFTO</w:t>
      </w:r>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r w:rsidRPr="00BA0D43">
        <w:t>ETUoS</w:t>
      </w:r>
      <w:bookmarkStart w:id="384" w:name="_Hlk155617635"/>
      <w:r w:rsidR="00CC06E2" w:rsidRPr="00CD5631">
        <w:rPr>
          <w:u w:val="single"/>
          <w:vertAlign w:val="subscript"/>
        </w:rPr>
        <w:t>DNO</w:t>
      </w:r>
      <w:bookmarkEnd w:id="384"/>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ETUoS</w:t>
      </w:r>
      <w:r w:rsidR="00CC06E2" w:rsidRPr="00CD5631">
        <w:rPr>
          <w:u w:val="single"/>
          <w:vertAlign w:val="subscript"/>
        </w:rPr>
        <w:t>OFTO</w:t>
      </w:r>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Where a DNO’s charge relates to more than one offshore generator, the related ETUoS</w:t>
      </w:r>
      <w:r w:rsidR="00CC06E2" w:rsidRPr="00CD5631">
        <w:rPr>
          <w:u w:val="single"/>
          <w:vertAlign w:val="subscript"/>
        </w:rPr>
        <w:t>DNO</w:t>
      </w:r>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Invoices for ETUoS</w:t>
      </w:r>
      <w:r w:rsidR="00CC06E2" w:rsidRPr="00CD5631">
        <w:rPr>
          <w:u w:val="single"/>
          <w:vertAlign w:val="subscript"/>
        </w:rPr>
        <w:t>DNO</w:t>
      </w:r>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t>As the ETUoS</w:t>
      </w:r>
      <w:r w:rsidR="00CC06E2" w:rsidRPr="00CD5631">
        <w:rPr>
          <w:u w:val="single"/>
          <w:vertAlign w:val="subscript"/>
        </w:rPr>
        <w:t>DNO</w:t>
      </w:r>
      <w:r w:rsidRPr="00BA0D43">
        <w:t xml:space="preserve"> charges reflect the DNO charges to</w:t>
      </w:r>
      <w:r w:rsidR="006823C2" w:rsidRPr="00BA0D43">
        <w:t xml:space="preserve"> </w:t>
      </w:r>
      <w:r w:rsidR="00E71EB2" w:rsidRPr="00BA0D43">
        <w:rPr>
          <w:b/>
        </w:rPr>
        <w:t>The Company</w:t>
      </w:r>
      <w:r w:rsidRPr="00BA0D43">
        <w:t>, such charges will be subject to variation when varied by the DNO.  Where the User disputes regarding the ETUoS</w:t>
      </w:r>
      <w:r w:rsidR="00CC06E2" w:rsidRPr="00CD5631">
        <w:rPr>
          <w:u w:val="single"/>
          <w:vertAlign w:val="subscript"/>
        </w:rPr>
        <w:t>DNO</w:t>
      </w:r>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385" w:name="_Toc32201096"/>
      <w:bookmarkStart w:id="386" w:name="_Toc49661146"/>
      <w:bookmarkStart w:id="387" w:name="_Toc274049725"/>
      <w:r>
        <w:t>Reconciliation of Generation Charges</w:t>
      </w:r>
      <w:bookmarkEnd w:id="385"/>
      <w:bookmarkEnd w:id="386"/>
      <w:bookmarkEnd w:id="387"/>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4DB27811"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5642D4">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388" w:name="_Toc32201097"/>
      <w:bookmarkStart w:id="389" w:name="_Toc49661147"/>
      <w:bookmarkStart w:id="390" w:name="_Toc274049726"/>
      <w:bookmarkEnd w:id="378"/>
      <w:r>
        <w:t>Further Information</w:t>
      </w:r>
      <w:bookmarkEnd w:id="388"/>
      <w:bookmarkEnd w:id="389"/>
      <w:bookmarkEnd w:id="390"/>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391" w:name="_Toc32201098"/>
      <w:r>
        <w:br w:type="page"/>
      </w:r>
      <w:bookmarkStart w:id="392" w:name="_Toc49661148"/>
      <w:bookmarkStart w:id="393" w:name="_Toc274049727"/>
      <w:r w:rsidRPr="00FE40FB">
        <w:rPr>
          <w:color w:val="auto"/>
          <w:sz w:val="28"/>
          <w:szCs w:val="28"/>
        </w:rPr>
        <w:t>14.19 Data Requirements</w:t>
      </w:r>
      <w:bookmarkEnd w:id="391"/>
      <w:bookmarkEnd w:id="392"/>
      <w:bookmarkEnd w:id="393"/>
    </w:p>
    <w:p w14:paraId="1B1F56AD" w14:textId="77777777" w:rsidR="006661FE" w:rsidRDefault="006661FE" w:rsidP="006661FE">
      <w:pPr>
        <w:pStyle w:val="Heading2"/>
      </w:pPr>
    </w:p>
    <w:p w14:paraId="1C4CFCE6" w14:textId="77777777" w:rsidR="006661FE" w:rsidRDefault="006661FE" w:rsidP="006661FE">
      <w:pPr>
        <w:pStyle w:val="Heading2"/>
      </w:pPr>
      <w:bookmarkStart w:id="394" w:name="_Toc32201099"/>
      <w:bookmarkStart w:id="395" w:name="_Toc49661149"/>
      <w:bookmarkStart w:id="396" w:name="_Toc274049728"/>
      <w:r>
        <w:t>Data Required for Charge Setting</w:t>
      </w:r>
      <w:bookmarkEnd w:id="394"/>
      <w:bookmarkEnd w:id="395"/>
      <w:bookmarkEnd w:id="396"/>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Additionally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6842DD22" w:rsidR="006661FE" w:rsidRDefault="5083A541" w:rsidP="007D27B2">
      <w:pPr>
        <w:pStyle w:val="1"/>
        <w:numPr>
          <w:ilvl w:val="0"/>
          <w:numId w:val="74"/>
        </w:numPr>
        <w:jc w:val="both"/>
      </w:pPr>
      <w:r>
        <w:t xml:space="preserve">Users who are owners or operators of a User System (e.g. Distribution companies) provide a forecast for the following </w:t>
      </w:r>
      <w:r w:rsidR="1A0A6E3F" w:rsidRPr="03871E98">
        <w:rPr>
          <w:b/>
          <w:bCs/>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Triad.  This data </w:t>
      </w:r>
      <w:r w:rsidR="6EC3F60A" w:rsidRPr="009919C1">
        <w:rPr>
          <w:b/>
          <w:bCs/>
        </w:rPr>
        <w:t>Electricity Ten Year Statement (ETYS)</w:t>
      </w:r>
      <w:r w:rsidR="6EC3F60A">
        <w:t xml:space="preserve"> </w:t>
      </w:r>
      <w:r>
        <w:t xml:space="preserve">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The BSCCo</w:t>
      </w:r>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397" w:name="_Toc32201100"/>
      <w:bookmarkStart w:id="398" w:name="_Toc49661150"/>
      <w:bookmarkStart w:id="399" w:name="_Toc274049729"/>
      <w:r>
        <w:t>Data Required for Calculating Users’ Charges</w:t>
      </w:r>
      <w:bookmarkEnd w:id="397"/>
      <w:bookmarkEnd w:id="398"/>
      <w:bookmarkEnd w:id="399"/>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400" w:name="_Toc32201101"/>
      <w:r>
        <w:br w:type="page"/>
      </w:r>
      <w:bookmarkStart w:id="401" w:name="_Toc49661151"/>
      <w:bookmarkStart w:id="402" w:name="_Toc274049730"/>
      <w:r w:rsidRPr="00FE40FB">
        <w:rPr>
          <w:color w:val="auto"/>
          <w:sz w:val="28"/>
          <w:szCs w:val="28"/>
        </w:rPr>
        <w:t>14.20 Applications</w:t>
      </w:r>
      <w:bookmarkEnd w:id="400"/>
      <w:bookmarkEnd w:id="401"/>
      <w:bookmarkEnd w:id="402"/>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403" w:name="_Ref531603538"/>
      <w:bookmarkStart w:id="404" w:name="_Toc32201102"/>
      <w:r>
        <w:br w:type="page"/>
      </w:r>
      <w:bookmarkStart w:id="405" w:name="_Toc49661152"/>
      <w:bookmarkStart w:id="406" w:name="_Toc274049731"/>
      <w:bookmarkEnd w:id="403"/>
      <w:bookmarkEnd w:id="404"/>
      <w:r w:rsidRPr="00FE40FB">
        <w:rPr>
          <w:color w:val="auto"/>
        </w:rPr>
        <w:t xml:space="preserve">14.21 </w:t>
      </w:r>
      <w:r w:rsidRPr="00FE40FB">
        <w:rPr>
          <w:color w:val="auto"/>
          <w:sz w:val="28"/>
          <w:szCs w:val="28"/>
        </w:rPr>
        <w:t>Transport Model Example</w:t>
      </w:r>
      <w:bookmarkEnd w:id="405"/>
      <w:bookmarkEnd w:id="406"/>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000000" w:rsidP="006661FE">
      <w:pPr>
        <w:jc w:val="both"/>
        <w:rPr>
          <w:rFonts w:ascii="Arial" w:hAnsi="Arial"/>
          <w:sz w:val="22"/>
        </w:rPr>
      </w:pPr>
      <w:r>
        <w:rPr>
          <w:rFonts w:ascii="Arial" w:hAnsi="Arial"/>
          <w:sz w:val="22"/>
        </w:rPr>
        <w:pict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1" o:title=""/>
            <w10:wrap type="topAndBottom"/>
          </v:shape>
        </w:pi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7E0D27"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B6EC0C"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C9629F"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1F47783C" w14:textId="1CEFAB27" w:rsidR="006E70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w:t>
      </w:r>
      <w:r w:rsidR="00BE1EF5">
        <w:rPr>
          <w:rFonts w:ascii="Arial" w:hAnsi="Arial" w:cs="Arial"/>
          <w:sz w:val="22"/>
        </w:rPr>
        <w:t xml:space="preserve"> </w:t>
      </w:r>
      <w:r w:rsidR="004E65CB">
        <w:rPr>
          <w:rFonts w:ascii="Arial" w:hAnsi="Arial" w:cs="Arial"/>
          <w:sz w:val="22"/>
        </w:rPr>
        <w:t xml:space="preserve">as per 14.15.7, </w:t>
      </w:r>
      <w:r w:rsidR="006661FE" w:rsidRPr="004248A1">
        <w:rPr>
          <w:rFonts w:ascii="Arial" w:hAnsi="Arial" w:cs="Arial"/>
          <w:sz w:val="22"/>
        </w:rPr>
        <w:t>such that total system generation equals total system demand</w:t>
      </w:r>
      <w:r w:rsidR="00FD015B">
        <w:rPr>
          <w:rFonts w:ascii="Arial" w:hAnsi="Arial" w:cs="Arial"/>
          <w:sz w:val="22"/>
        </w:rPr>
        <w:t xml:space="preserve"> minus total imports from external systems</w:t>
      </w:r>
      <w:r w:rsidR="006661FE" w:rsidRPr="004248A1">
        <w:rPr>
          <w:rFonts w:ascii="Arial" w:hAnsi="Arial" w:cs="Arial"/>
          <w:sz w:val="22"/>
        </w:rPr>
        <w:t>.</w:t>
      </w:r>
    </w:p>
    <w:p w14:paraId="728CAAB7" w14:textId="77777777" w:rsidR="006E70FE" w:rsidRPr="006149D0" w:rsidRDefault="006E70FE" w:rsidP="006E70FE">
      <w:pPr>
        <w:pStyle w:val="BodyText"/>
        <w:rPr>
          <w:rFonts w:ascii="Arial" w:hAnsi="Arial" w:cs="Arial"/>
          <w:sz w:val="22"/>
          <w:u w:val="single"/>
        </w:rPr>
      </w:pPr>
      <w:r w:rsidRPr="006149D0">
        <w:rPr>
          <w:rFonts w:ascii="Arial" w:hAnsi="Arial" w:cs="Arial"/>
          <w:sz w:val="22"/>
          <w:u w:val="single"/>
        </w:rPr>
        <w:t>Scaling Factor Adjustment to 10% minimum</w:t>
      </w:r>
    </w:p>
    <w:p w14:paraId="197E3581" w14:textId="77777777" w:rsidR="006E70FE" w:rsidRDefault="006E70FE" w:rsidP="006E70FE">
      <w:pPr>
        <w:pStyle w:val="BodyText"/>
        <w:rPr>
          <w:rFonts w:ascii="Arial" w:hAnsi="Arial" w:cs="Arial"/>
          <w:sz w:val="22"/>
        </w:rPr>
      </w:pPr>
      <w:r>
        <w:rPr>
          <w:rFonts w:ascii="Arial" w:hAnsi="Arial" w:cs="Arial"/>
          <w:sz w:val="22"/>
        </w:rPr>
        <w:t>If the SQSS process gives a variable scaling factor less than 10%, then it will be adjusted along with the fixed factors as per the following example.</w:t>
      </w:r>
    </w:p>
    <w:p w14:paraId="19D755A1" w14:textId="77777777" w:rsidR="006E70FE" w:rsidRDefault="006E70FE" w:rsidP="006E70FE">
      <w:pPr>
        <w:pStyle w:val="BodyText"/>
        <w:rPr>
          <w:rFonts w:ascii="Arial" w:hAnsi="Arial" w:cs="Arial"/>
          <w:sz w:val="22"/>
        </w:rPr>
      </w:pPr>
      <w:r>
        <w:rPr>
          <w:rFonts w:ascii="Arial" w:hAnsi="Arial" w:cs="Arial"/>
          <w:sz w:val="22"/>
        </w:rPr>
        <w:t>Total Unscaled TEC = 107600</w:t>
      </w:r>
      <w:r>
        <w:rPr>
          <w:rFonts w:ascii="Arial" w:hAnsi="Arial" w:cs="Arial"/>
          <w:sz w:val="22"/>
        </w:rPr>
        <w:br/>
        <w:t>ACS Demand = 49870</w:t>
      </w:r>
    </w:p>
    <w:p w14:paraId="74FCCB11" w14:textId="77777777" w:rsidR="006E70FE" w:rsidRDefault="006E70FE" w:rsidP="006E70FE">
      <w:pPr>
        <w:pStyle w:val="BodyText"/>
        <w:rPr>
          <w:rFonts w:ascii="Arial" w:hAnsi="Arial" w:cs="Arial"/>
          <w:sz w:val="22"/>
        </w:rPr>
      </w:pPr>
      <w:r>
        <w:rPr>
          <w:rFonts w:ascii="Arial" w:hAnsi="Arial" w:cs="Arial"/>
          <w:sz w:val="22"/>
        </w:rPr>
        <w:t>Increasing the variable scaling factor to 10% results in an increase of 5190MW to total scaled generation, which is then counteracted by a uniform 10.06% reduction to all fixed scaling factors (N.B some rounding included below). “Scaling Factor after 10% floor applied” column in the table below gives the required scaling factors to ensure total scaled TEC is equal to 49870 (ACS).</w:t>
      </w:r>
    </w:p>
    <w:tbl>
      <w:tblPr>
        <w:tblStyle w:val="TableGrid"/>
        <w:tblW w:w="0" w:type="auto"/>
        <w:tblLook w:val="04A0" w:firstRow="1" w:lastRow="0" w:firstColumn="1" w:lastColumn="0" w:noHBand="0" w:noVBand="1"/>
      </w:tblPr>
      <w:tblGrid>
        <w:gridCol w:w="1709"/>
        <w:gridCol w:w="1083"/>
        <w:gridCol w:w="877"/>
        <w:gridCol w:w="1678"/>
        <w:gridCol w:w="1604"/>
        <w:gridCol w:w="997"/>
        <w:gridCol w:w="1107"/>
      </w:tblGrid>
      <w:tr w:rsidR="006E70FE" w:rsidRPr="004A1FA9" w14:paraId="1AA98A48" w14:textId="77777777" w:rsidTr="00F24169">
        <w:trPr>
          <w:trHeight w:val="191"/>
        </w:trPr>
        <w:tc>
          <w:tcPr>
            <w:tcW w:w="1709" w:type="dxa"/>
            <w:noWrap/>
            <w:hideMark/>
          </w:tcPr>
          <w:p w14:paraId="2107334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Generator Type</w:t>
            </w:r>
          </w:p>
        </w:tc>
        <w:tc>
          <w:tcPr>
            <w:tcW w:w="1083" w:type="dxa"/>
            <w:noWrap/>
            <w:hideMark/>
          </w:tcPr>
          <w:p w14:paraId="2C4603A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TEC</w:t>
            </w:r>
          </w:p>
        </w:tc>
        <w:tc>
          <w:tcPr>
            <w:tcW w:w="867" w:type="dxa"/>
          </w:tcPr>
          <w:p w14:paraId="1506081D" w14:textId="77777777" w:rsidR="006E70FE" w:rsidRPr="00873915" w:rsidRDefault="006E70FE" w:rsidP="00F24169">
            <w:pPr>
              <w:pStyle w:val="BodyText"/>
              <w:rPr>
                <w:rFonts w:ascii="Arial" w:hAnsi="Arial" w:cs="Arial"/>
                <w:sz w:val="18"/>
                <w:szCs w:val="16"/>
              </w:rPr>
            </w:pPr>
            <w:r>
              <w:rPr>
                <w:rFonts w:ascii="Arial" w:hAnsi="Arial" w:cs="Arial"/>
                <w:sz w:val="18"/>
                <w:szCs w:val="16"/>
              </w:rPr>
              <w:t>Type</w:t>
            </w:r>
          </w:p>
        </w:tc>
        <w:tc>
          <w:tcPr>
            <w:tcW w:w="1678" w:type="dxa"/>
            <w:noWrap/>
            <w:hideMark/>
          </w:tcPr>
          <w:p w14:paraId="23720519" w14:textId="77777777" w:rsidR="006E70FE" w:rsidRPr="006149D0" w:rsidRDefault="006E70FE" w:rsidP="00F24169">
            <w:pPr>
              <w:pStyle w:val="BodyText"/>
              <w:rPr>
                <w:rFonts w:ascii="Arial" w:hAnsi="Arial" w:cs="Arial"/>
                <w:sz w:val="18"/>
                <w:szCs w:val="16"/>
              </w:rPr>
            </w:pPr>
            <w:r>
              <w:rPr>
                <w:rFonts w:ascii="Arial" w:hAnsi="Arial" w:cs="Arial"/>
                <w:sz w:val="18"/>
                <w:szCs w:val="16"/>
              </w:rPr>
              <w:t>Year Round Background SQSS Scaling Factor</w:t>
            </w:r>
          </w:p>
        </w:tc>
        <w:tc>
          <w:tcPr>
            <w:tcW w:w="1604" w:type="dxa"/>
            <w:noWrap/>
            <w:hideMark/>
          </w:tcPr>
          <w:p w14:paraId="683A4B4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Scaled Generation (</w:t>
            </w:r>
            <w:r>
              <w:rPr>
                <w:rFonts w:ascii="Arial" w:hAnsi="Arial" w:cs="Arial"/>
                <w:sz w:val="18"/>
                <w:szCs w:val="16"/>
              </w:rPr>
              <w:t>SQSS</w:t>
            </w:r>
            <w:r w:rsidRPr="006149D0">
              <w:rPr>
                <w:rFonts w:ascii="Arial" w:hAnsi="Arial" w:cs="Arial"/>
                <w:sz w:val="18"/>
                <w:szCs w:val="16"/>
              </w:rPr>
              <w:t>)</w:t>
            </w:r>
          </w:p>
        </w:tc>
        <w:tc>
          <w:tcPr>
            <w:tcW w:w="1310" w:type="dxa"/>
          </w:tcPr>
          <w:p w14:paraId="1F66A94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 xml:space="preserve">Scaling Factor after </w:t>
            </w:r>
            <w:r>
              <w:rPr>
                <w:rFonts w:ascii="Arial" w:hAnsi="Arial" w:cs="Arial"/>
                <w:sz w:val="18"/>
                <w:szCs w:val="16"/>
              </w:rPr>
              <w:t xml:space="preserve">10% floor applied </w:t>
            </w:r>
          </w:p>
        </w:tc>
        <w:tc>
          <w:tcPr>
            <w:tcW w:w="1093" w:type="dxa"/>
          </w:tcPr>
          <w:p w14:paraId="4079C5E4" w14:textId="77777777" w:rsidR="006E70FE" w:rsidRPr="006149D0" w:rsidRDefault="006E70FE" w:rsidP="00F24169">
            <w:pPr>
              <w:pStyle w:val="BodyText"/>
              <w:rPr>
                <w:rFonts w:ascii="Arial" w:hAnsi="Arial" w:cs="Arial"/>
                <w:sz w:val="18"/>
                <w:szCs w:val="16"/>
              </w:rPr>
            </w:pPr>
            <w:r>
              <w:rPr>
                <w:rFonts w:ascii="Arial" w:hAnsi="Arial" w:cs="Arial"/>
                <w:sz w:val="18"/>
                <w:szCs w:val="16"/>
              </w:rPr>
              <w:t>Scaled Generation after floor applied for variable</w:t>
            </w:r>
          </w:p>
        </w:tc>
      </w:tr>
      <w:tr w:rsidR="006E70FE" w:rsidRPr="004A1FA9" w14:paraId="50E72589" w14:textId="77777777" w:rsidTr="00F24169">
        <w:trPr>
          <w:trHeight w:val="191"/>
        </w:trPr>
        <w:tc>
          <w:tcPr>
            <w:tcW w:w="1709" w:type="dxa"/>
            <w:noWrap/>
            <w:hideMark/>
          </w:tcPr>
          <w:p w14:paraId="752AA673"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Biomass</w:t>
            </w:r>
          </w:p>
        </w:tc>
        <w:tc>
          <w:tcPr>
            <w:tcW w:w="1083" w:type="dxa"/>
            <w:noWrap/>
            <w:hideMark/>
          </w:tcPr>
          <w:p w14:paraId="00406FC2"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430C2132"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43624C1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2D0DD6D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310" w:type="dxa"/>
          </w:tcPr>
          <w:p w14:paraId="06F6B5D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1AACF7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w:t>
            </w:r>
          </w:p>
        </w:tc>
      </w:tr>
      <w:tr w:rsidR="006E70FE" w:rsidRPr="004A1FA9" w14:paraId="5074B0DC" w14:textId="77777777" w:rsidTr="00F24169">
        <w:trPr>
          <w:trHeight w:val="191"/>
        </w:trPr>
        <w:tc>
          <w:tcPr>
            <w:tcW w:w="1709" w:type="dxa"/>
            <w:noWrap/>
            <w:hideMark/>
          </w:tcPr>
          <w:p w14:paraId="4E97CFE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CCGT</w:t>
            </w:r>
          </w:p>
        </w:tc>
        <w:tc>
          <w:tcPr>
            <w:tcW w:w="1083" w:type="dxa"/>
            <w:noWrap/>
            <w:hideMark/>
          </w:tcPr>
          <w:p w14:paraId="3110010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30000</w:t>
            </w:r>
          </w:p>
        </w:tc>
        <w:tc>
          <w:tcPr>
            <w:tcW w:w="867" w:type="dxa"/>
          </w:tcPr>
          <w:p w14:paraId="4E03314B"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6B86F15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32E5BAC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-1500</w:t>
            </w:r>
          </w:p>
        </w:tc>
        <w:tc>
          <w:tcPr>
            <w:tcW w:w="1310" w:type="dxa"/>
          </w:tcPr>
          <w:p w14:paraId="323B16D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1FE933C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3000</w:t>
            </w:r>
          </w:p>
        </w:tc>
      </w:tr>
      <w:tr w:rsidR="006E70FE" w:rsidRPr="004A1FA9" w14:paraId="35418C4D" w14:textId="77777777" w:rsidTr="00F24169">
        <w:trPr>
          <w:trHeight w:val="191"/>
        </w:trPr>
        <w:tc>
          <w:tcPr>
            <w:tcW w:w="1709" w:type="dxa"/>
            <w:noWrap/>
            <w:hideMark/>
          </w:tcPr>
          <w:p w14:paraId="27B1D804"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CHP</w:t>
            </w:r>
          </w:p>
        </w:tc>
        <w:tc>
          <w:tcPr>
            <w:tcW w:w="1083" w:type="dxa"/>
            <w:noWrap/>
            <w:hideMark/>
          </w:tcPr>
          <w:p w14:paraId="6CB8E11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0BA07F83"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274868C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FE890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310" w:type="dxa"/>
          </w:tcPr>
          <w:p w14:paraId="37F1FD8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97F29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w:t>
            </w:r>
          </w:p>
        </w:tc>
      </w:tr>
      <w:tr w:rsidR="006E70FE" w:rsidRPr="004A1FA9" w14:paraId="29A3E03E" w14:textId="77777777" w:rsidTr="00F24169">
        <w:trPr>
          <w:trHeight w:val="191"/>
        </w:trPr>
        <w:tc>
          <w:tcPr>
            <w:tcW w:w="1709" w:type="dxa"/>
            <w:noWrap/>
            <w:hideMark/>
          </w:tcPr>
          <w:p w14:paraId="2EB047D5"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Coal</w:t>
            </w:r>
          </w:p>
        </w:tc>
        <w:tc>
          <w:tcPr>
            <w:tcW w:w="1083" w:type="dxa"/>
            <w:noWrap/>
            <w:hideMark/>
          </w:tcPr>
          <w:p w14:paraId="3BC0726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867" w:type="dxa"/>
          </w:tcPr>
          <w:p w14:paraId="60F1797C"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2ACE805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4F1F1BF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7781BF8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79E941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5306A542" w14:textId="77777777" w:rsidTr="00F24169">
        <w:trPr>
          <w:trHeight w:val="191"/>
        </w:trPr>
        <w:tc>
          <w:tcPr>
            <w:tcW w:w="1709" w:type="dxa"/>
            <w:noWrap/>
            <w:hideMark/>
          </w:tcPr>
          <w:p w14:paraId="0EDE729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Hydro</w:t>
            </w:r>
          </w:p>
        </w:tc>
        <w:tc>
          <w:tcPr>
            <w:tcW w:w="1083" w:type="dxa"/>
            <w:noWrap/>
            <w:hideMark/>
          </w:tcPr>
          <w:p w14:paraId="06DF741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600</w:t>
            </w:r>
          </w:p>
        </w:tc>
        <w:tc>
          <w:tcPr>
            <w:tcW w:w="867" w:type="dxa"/>
          </w:tcPr>
          <w:p w14:paraId="45761ACE"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5EEF395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A78672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w:t>
            </w:r>
          </w:p>
        </w:tc>
        <w:tc>
          <w:tcPr>
            <w:tcW w:w="1310" w:type="dxa"/>
          </w:tcPr>
          <w:p w14:paraId="181ADA4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34A0B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w:t>
            </w:r>
          </w:p>
        </w:tc>
      </w:tr>
      <w:tr w:rsidR="006E70FE" w:rsidRPr="004A1FA9" w14:paraId="0006A461" w14:textId="77777777" w:rsidTr="00F24169">
        <w:trPr>
          <w:trHeight w:val="191"/>
        </w:trPr>
        <w:tc>
          <w:tcPr>
            <w:tcW w:w="1709" w:type="dxa"/>
            <w:noWrap/>
            <w:hideMark/>
          </w:tcPr>
          <w:p w14:paraId="40FEBCD4"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Interconnectors</w:t>
            </w:r>
          </w:p>
        </w:tc>
        <w:tc>
          <w:tcPr>
            <w:tcW w:w="1083" w:type="dxa"/>
            <w:noWrap/>
            <w:hideMark/>
          </w:tcPr>
          <w:p w14:paraId="079EE16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10000</w:t>
            </w:r>
          </w:p>
        </w:tc>
        <w:tc>
          <w:tcPr>
            <w:tcW w:w="867" w:type="dxa"/>
          </w:tcPr>
          <w:p w14:paraId="753A7586"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5EBB839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604" w:type="dxa"/>
            <w:noWrap/>
            <w:hideMark/>
          </w:tcPr>
          <w:p w14:paraId="5AB4706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 xml:space="preserve">10000 </w:t>
            </w:r>
          </w:p>
        </w:tc>
        <w:tc>
          <w:tcPr>
            <w:tcW w:w="1310" w:type="dxa"/>
          </w:tcPr>
          <w:p w14:paraId="574907DE" w14:textId="77777777" w:rsidR="006E70FE" w:rsidRPr="006149D0" w:rsidRDefault="006E70FE" w:rsidP="00F24169">
            <w:pPr>
              <w:pStyle w:val="BodyText"/>
              <w:rPr>
                <w:rFonts w:ascii="Arial" w:hAnsi="Arial" w:cs="Arial"/>
                <w:sz w:val="18"/>
                <w:szCs w:val="16"/>
              </w:rPr>
            </w:pPr>
            <w:r>
              <w:rPr>
                <w:rFonts w:ascii="Arial" w:hAnsi="Arial" w:cs="Arial"/>
                <w:sz w:val="18"/>
                <w:szCs w:val="16"/>
              </w:rPr>
              <w:t>89.94</w:t>
            </w:r>
            <w:r w:rsidRPr="006149D0">
              <w:rPr>
                <w:rFonts w:ascii="Arial" w:hAnsi="Arial" w:cs="Arial"/>
                <w:sz w:val="18"/>
                <w:szCs w:val="16"/>
              </w:rPr>
              <w:t>%</w:t>
            </w:r>
          </w:p>
        </w:tc>
        <w:tc>
          <w:tcPr>
            <w:tcW w:w="1093" w:type="dxa"/>
          </w:tcPr>
          <w:p w14:paraId="27BFB16F" w14:textId="77777777" w:rsidR="006E70FE" w:rsidRPr="006149D0" w:rsidRDefault="006E70FE" w:rsidP="00F24169">
            <w:pPr>
              <w:pStyle w:val="BodyText"/>
              <w:rPr>
                <w:rFonts w:ascii="Arial" w:hAnsi="Arial" w:cs="Arial"/>
                <w:sz w:val="18"/>
                <w:szCs w:val="16"/>
              </w:rPr>
            </w:pPr>
            <w:r>
              <w:rPr>
                <w:rFonts w:ascii="Arial" w:hAnsi="Arial" w:cs="Arial"/>
                <w:sz w:val="18"/>
                <w:szCs w:val="16"/>
              </w:rPr>
              <w:t>8994</w:t>
            </w:r>
          </w:p>
        </w:tc>
      </w:tr>
      <w:tr w:rsidR="006E70FE" w:rsidRPr="004A1FA9" w14:paraId="009CE51D" w14:textId="77777777" w:rsidTr="00F24169">
        <w:trPr>
          <w:trHeight w:val="191"/>
        </w:trPr>
        <w:tc>
          <w:tcPr>
            <w:tcW w:w="1709" w:type="dxa"/>
            <w:noWrap/>
            <w:hideMark/>
          </w:tcPr>
          <w:p w14:paraId="19DCC16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Nuclear</w:t>
            </w:r>
          </w:p>
        </w:tc>
        <w:tc>
          <w:tcPr>
            <w:tcW w:w="1083" w:type="dxa"/>
            <w:noWrap/>
            <w:hideMark/>
          </w:tcPr>
          <w:p w14:paraId="44F5688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6000</w:t>
            </w:r>
          </w:p>
        </w:tc>
        <w:tc>
          <w:tcPr>
            <w:tcW w:w="867" w:type="dxa"/>
          </w:tcPr>
          <w:p w14:paraId="15B83385"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569D3E3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85%</w:t>
            </w:r>
          </w:p>
        </w:tc>
        <w:tc>
          <w:tcPr>
            <w:tcW w:w="1604" w:type="dxa"/>
            <w:noWrap/>
            <w:hideMark/>
          </w:tcPr>
          <w:p w14:paraId="6968E06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5100</w:t>
            </w:r>
          </w:p>
        </w:tc>
        <w:tc>
          <w:tcPr>
            <w:tcW w:w="1310" w:type="dxa"/>
          </w:tcPr>
          <w:p w14:paraId="7776BFFD" w14:textId="77777777" w:rsidR="006E70FE" w:rsidRPr="006149D0" w:rsidRDefault="006E70FE" w:rsidP="00F24169">
            <w:pPr>
              <w:pStyle w:val="BodyText"/>
              <w:rPr>
                <w:rFonts w:ascii="Arial" w:hAnsi="Arial" w:cs="Arial"/>
                <w:sz w:val="18"/>
                <w:szCs w:val="16"/>
              </w:rPr>
            </w:pPr>
            <w:r>
              <w:rPr>
                <w:rFonts w:ascii="Arial" w:hAnsi="Arial" w:cs="Arial"/>
                <w:sz w:val="18"/>
                <w:szCs w:val="16"/>
              </w:rPr>
              <w:t>76.45</w:t>
            </w:r>
            <w:r w:rsidRPr="006149D0">
              <w:rPr>
                <w:rFonts w:ascii="Arial" w:hAnsi="Arial" w:cs="Arial"/>
                <w:sz w:val="18"/>
                <w:szCs w:val="16"/>
              </w:rPr>
              <w:t>%</w:t>
            </w:r>
          </w:p>
        </w:tc>
        <w:tc>
          <w:tcPr>
            <w:tcW w:w="1093" w:type="dxa"/>
          </w:tcPr>
          <w:p w14:paraId="21B0398F" w14:textId="77777777" w:rsidR="006E70FE" w:rsidRPr="006149D0" w:rsidRDefault="006E70FE" w:rsidP="00F24169">
            <w:pPr>
              <w:pStyle w:val="BodyText"/>
              <w:rPr>
                <w:rFonts w:ascii="Arial" w:hAnsi="Arial" w:cs="Arial"/>
                <w:sz w:val="18"/>
                <w:szCs w:val="16"/>
              </w:rPr>
            </w:pPr>
            <w:r>
              <w:rPr>
                <w:rFonts w:ascii="Arial" w:hAnsi="Arial" w:cs="Arial"/>
                <w:sz w:val="18"/>
                <w:szCs w:val="16"/>
              </w:rPr>
              <w:t>4587</w:t>
            </w:r>
          </w:p>
        </w:tc>
      </w:tr>
      <w:tr w:rsidR="006E70FE" w:rsidRPr="004A1FA9" w14:paraId="3695CD97" w14:textId="77777777" w:rsidTr="00F24169">
        <w:trPr>
          <w:trHeight w:val="191"/>
        </w:trPr>
        <w:tc>
          <w:tcPr>
            <w:tcW w:w="1709" w:type="dxa"/>
            <w:noWrap/>
            <w:hideMark/>
          </w:tcPr>
          <w:p w14:paraId="1E0E4BE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OCGT</w:t>
            </w:r>
          </w:p>
        </w:tc>
        <w:tc>
          <w:tcPr>
            <w:tcW w:w="1083" w:type="dxa"/>
            <w:noWrap/>
            <w:hideMark/>
          </w:tcPr>
          <w:p w14:paraId="2583740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3F0706F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0BA3592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604" w:type="dxa"/>
            <w:noWrap/>
            <w:hideMark/>
          </w:tcPr>
          <w:p w14:paraId="14A03BD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62242E3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093" w:type="dxa"/>
          </w:tcPr>
          <w:p w14:paraId="210E245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44420D50" w14:textId="77777777" w:rsidTr="00F24169">
        <w:trPr>
          <w:trHeight w:val="191"/>
        </w:trPr>
        <w:tc>
          <w:tcPr>
            <w:tcW w:w="1709" w:type="dxa"/>
            <w:noWrap/>
            <w:hideMark/>
          </w:tcPr>
          <w:p w14:paraId="2BFCF07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Pump Storage</w:t>
            </w:r>
          </w:p>
        </w:tc>
        <w:tc>
          <w:tcPr>
            <w:tcW w:w="1083" w:type="dxa"/>
            <w:noWrap/>
            <w:hideMark/>
          </w:tcPr>
          <w:p w14:paraId="21A22AE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10000</w:t>
            </w:r>
          </w:p>
        </w:tc>
        <w:tc>
          <w:tcPr>
            <w:tcW w:w="867" w:type="dxa"/>
          </w:tcPr>
          <w:p w14:paraId="65548455"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7665955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50%</w:t>
            </w:r>
          </w:p>
        </w:tc>
        <w:tc>
          <w:tcPr>
            <w:tcW w:w="1604" w:type="dxa"/>
            <w:noWrap/>
            <w:hideMark/>
          </w:tcPr>
          <w:p w14:paraId="321FB42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5000</w:t>
            </w:r>
          </w:p>
        </w:tc>
        <w:tc>
          <w:tcPr>
            <w:tcW w:w="1310" w:type="dxa"/>
          </w:tcPr>
          <w:p w14:paraId="054F0BD2" w14:textId="77777777" w:rsidR="006E70FE" w:rsidRPr="006149D0" w:rsidRDefault="006E70FE" w:rsidP="00F24169">
            <w:pPr>
              <w:pStyle w:val="BodyText"/>
              <w:rPr>
                <w:rFonts w:ascii="Arial" w:hAnsi="Arial" w:cs="Arial"/>
                <w:sz w:val="18"/>
                <w:szCs w:val="16"/>
              </w:rPr>
            </w:pPr>
            <w:r>
              <w:rPr>
                <w:rFonts w:ascii="Arial" w:hAnsi="Arial" w:cs="Arial"/>
                <w:sz w:val="18"/>
                <w:szCs w:val="16"/>
              </w:rPr>
              <w:t>44.97</w:t>
            </w:r>
            <w:r w:rsidRPr="006149D0">
              <w:rPr>
                <w:rFonts w:ascii="Arial" w:hAnsi="Arial" w:cs="Arial"/>
                <w:sz w:val="18"/>
                <w:szCs w:val="16"/>
              </w:rPr>
              <w:t>%</w:t>
            </w:r>
          </w:p>
        </w:tc>
        <w:tc>
          <w:tcPr>
            <w:tcW w:w="1093" w:type="dxa"/>
          </w:tcPr>
          <w:p w14:paraId="44852DFD" w14:textId="77777777" w:rsidR="006E70FE" w:rsidRPr="006149D0" w:rsidRDefault="006E70FE" w:rsidP="00F24169">
            <w:pPr>
              <w:pStyle w:val="BodyText"/>
              <w:rPr>
                <w:rFonts w:ascii="Arial" w:hAnsi="Arial" w:cs="Arial"/>
                <w:sz w:val="18"/>
                <w:szCs w:val="16"/>
              </w:rPr>
            </w:pPr>
            <w:r>
              <w:rPr>
                <w:rFonts w:ascii="Arial" w:hAnsi="Arial" w:cs="Arial"/>
                <w:sz w:val="18"/>
                <w:szCs w:val="16"/>
              </w:rPr>
              <w:t>4497</w:t>
            </w:r>
          </w:p>
        </w:tc>
      </w:tr>
      <w:tr w:rsidR="006E70FE" w:rsidRPr="004A1FA9" w14:paraId="47DFEEF9" w14:textId="77777777" w:rsidTr="00F24169">
        <w:trPr>
          <w:trHeight w:val="191"/>
        </w:trPr>
        <w:tc>
          <w:tcPr>
            <w:tcW w:w="1709" w:type="dxa"/>
            <w:noWrap/>
            <w:hideMark/>
          </w:tcPr>
          <w:p w14:paraId="35059E1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Tidal</w:t>
            </w:r>
          </w:p>
        </w:tc>
        <w:tc>
          <w:tcPr>
            <w:tcW w:w="1083" w:type="dxa"/>
            <w:noWrap/>
            <w:hideMark/>
          </w:tcPr>
          <w:p w14:paraId="338DAA2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t>
            </w:r>
          </w:p>
        </w:tc>
        <w:tc>
          <w:tcPr>
            <w:tcW w:w="867" w:type="dxa"/>
          </w:tcPr>
          <w:p w14:paraId="5CC54194"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1671B97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23E3BC0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72B1372D"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139EA30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4690B3D1" w14:textId="77777777" w:rsidTr="00F24169">
        <w:trPr>
          <w:trHeight w:val="191"/>
        </w:trPr>
        <w:tc>
          <w:tcPr>
            <w:tcW w:w="1709" w:type="dxa"/>
            <w:noWrap/>
            <w:hideMark/>
          </w:tcPr>
          <w:p w14:paraId="74DF94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Wave</w:t>
            </w:r>
          </w:p>
        </w:tc>
        <w:tc>
          <w:tcPr>
            <w:tcW w:w="1083" w:type="dxa"/>
            <w:noWrap/>
            <w:hideMark/>
          </w:tcPr>
          <w:p w14:paraId="40468A1A"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t>
            </w:r>
          </w:p>
        </w:tc>
        <w:tc>
          <w:tcPr>
            <w:tcW w:w="867" w:type="dxa"/>
          </w:tcPr>
          <w:p w14:paraId="6D2CEC3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6F6F2C4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1703B8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04BF67B5"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3DFA4E0A"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103447CD" w14:textId="77777777" w:rsidTr="00F24169">
        <w:trPr>
          <w:trHeight w:val="191"/>
        </w:trPr>
        <w:tc>
          <w:tcPr>
            <w:tcW w:w="1709" w:type="dxa"/>
            <w:noWrap/>
            <w:hideMark/>
          </w:tcPr>
          <w:p w14:paraId="384F3F2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Wind Offshore</w:t>
            </w:r>
          </w:p>
        </w:tc>
        <w:tc>
          <w:tcPr>
            <w:tcW w:w="1083" w:type="dxa"/>
            <w:noWrap/>
            <w:hideMark/>
          </w:tcPr>
          <w:p w14:paraId="5335A58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25000</w:t>
            </w:r>
          </w:p>
        </w:tc>
        <w:tc>
          <w:tcPr>
            <w:tcW w:w="867" w:type="dxa"/>
          </w:tcPr>
          <w:p w14:paraId="4C1C5CB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771E0AE2"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56946C9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17500</w:t>
            </w:r>
          </w:p>
        </w:tc>
        <w:tc>
          <w:tcPr>
            <w:tcW w:w="1310" w:type="dxa"/>
          </w:tcPr>
          <w:p w14:paraId="17170406"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690216DF" w14:textId="77777777" w:rsidR="006E70FE" w:rsidRPr="006149D0" w:rsidRDefault="006E70FE" w:rsidP="00F24169">
            <w:pPr>
              <w:pStyle w:val="BodyText"/>
              <w:rPr>
                <w:rFonts w:ascii="Arial" w:hAnsi="Arial" w:cs="Arial"/>
                <w:sz w:val="18"/>
                <w:szCs w:val="16"/>
              </w:rPr>
            </w:pPr>
            <w:r>
              <w:rPr>
                <w:rFonts w:ascii="Arial" w:hAnsi="Arial" w:cs="Arial"/>
                <w:sz w:val="18"/>
                <w:szCs w:val="16"/>
              </w:rPr>
              <w:t>15740</w:t>
            </w:r>
          </w:p>
        </w:tc>
      </w:tr>
      <w:tr w:rsidR="006E70FE" w:rsidRPr="004A1FA9" w14:paraId="230DFE2F" w14:textId="77777777" w:rsidTr="00F24169">
        <w:trPr>
          <w:trHeight w:val="50"/>
        </w:trPr>
        <w:tc>
          <w:tcPr>
            <w:tcW w:w="1709" w:type="dxa"/>
            <w:noWrap/>
            <w:hideMark/>
          </w:tcPr>
          <w:p w14:paraId="40B32E55"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Wind Onshore</w:t>
            </w:r>
          </w:p>
        </w:tc>
        <w:tc>
          <w:tcPr>
            <w:tcW w:w="1083" w:type="dxa"/>
            <w:noWrap/>
            <w:hideMark/>
          </w:tcPr>
          <w:p w14:paraId="350548D3"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20000</w:t>
            </w:r>
          </w:p>
        </w:tc>
        <w:tc>
          <w:tcPr>
            <w:tcW w:w="867" w:type="dxa"/>
          </w:tcPr>
          <w:p w14:paraId="26C7873E"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4F9C1F0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335F30A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14000</w:t>
            </w:r>
          </w:p>
        </w:tc>
        <w:tc>
          <w:tcPr>
            <w:tcW w:w="1310" w:type="dxa"/>
          </w:tcPr>
          <w:p w14:paraId="65DA39BA"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7FE58436" w14:textId="77777777" w:rsidR="006E70FE" w:rsidRPr="006149D0" w:rsidRDefault="006E70FE" w:rsidP="00F24169">
            <w:pPr>
              <w:pStyle w:val="BodyText"/>
              <w:rPr>
                <w:rFonts w:ascii="Arial" w:hAnsi="Arial" w:cs="Arial"/>
                <w:sz w:val="18"/>
                <w:szCs w:val="16"/>
              </w:rPr>
            </w:pPr>
            <w:r>
              <w:rPr>
                <w:rFonts w:ascii="Arial" w:hAnsi="Arial" w:cs="Arial"/>
                <w:sz w:val="18"/>
                <w:szCs w:val="16"/>
              </w:rPr>
              <w:t>12592</w:t>
            </w:r>
          </w:p>
        </w:tc>
      </w:tr>
    </w:tbl>
    <w:p w14:paraId="6ADD2092" w14:textId="77777777" w:rsidR="006E70FE" w:rsidRDefault="006E70FE" w:rsidP="006E70FE">
      <w:pPr>
        <w:pStyle w:val="BodyText"/>
        <w:rPr>
          <w:rFonts w:ascii="Arial" w:hAnsi="Arial" w:cs="Arial"/>
          <w:sz w:val="22"/>
        </w:rPr>
      </w:pPr>
    </w:p>
    <w:p w14:paraId="3209EF42" w14:textId="3185C5FE" w:rsidR="006661FE" w:rsidRDefault="006E70FE" w:rsidP="006E70FE">
      <w:pPr>
        <w:pStyle w:val="BodyText"/>
        <w:rPr>
          <w:rFonts w:ascii="Arial" w:hAnsi="Arial" w:cs="Arial"/>
          <w:sz w:val="22"/>
        </w:rPr>
      </w:pPr>
      <w:r>
        <w:rPr>
          <w:rFonts w:ascii="Arial" w:hAnsi="Arial" w:cs="Arial"/>
          <w:sz w:val="22"/>
        </w:rPr>
        <w:t>Total scaled generation for fixed plant types in SQSS = 51600</w:t>
      </w:r>
      <w:r>
        <w:rPr>
          <w:rFonts w:ascii="Arial" w:hAnsi="Arial" w:cs="Arial"/>
          <w:sz w:val="22"/>
        </w:rPr>
        <w:br/>
        <w:t>Reduction required/SQSS fixed generation = 5190/51600 = 10.06%</w:t>
      </w:r>
      <w:r w:rsidR="006661FE" w:rsidRPr="004248A1">
        <w:rPr>
          <w:rFonts w:ascii="Arial" w:hAnsi="Arial" w:cs="Arial"/>
          <w:sz w:val="22"/>
        </w:rPr>
        <w:t xml:space="preserve">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000000" w:rsidP="006661FE">
      <w:pPr>
        <w:pStyle w:val="BodyText"/>
        <w:rPr>
          <w:sz w:val="22"/>
        </w:rPr>
      </w:pPr>
      <w:r>
        <w:pict w14:anchorId="29F276B0">
          <v:shape id="_x0000_s2056" type="#_x0000_t75" style="position:absolute;margin-left:-16.1pt;margin-top:23.95pt;width:468.1pt;height:179.95pt;z-index:251658246" o:allowincell="f">
            <v:imagedata r:id="rId82" o:title=""/>
            <w10:wrap type="topAndBottom"/>
          </v:shape>
        </w:pi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000000" w:rsidP="002412ED">
      <w:pPr>
        <w:ind w:left="720" w:hanging="720"/>
        <w:jc w:val="both"/>
        <w:rPr>
          <w:rFonts w:ascii="Arial" w:hAnsi="Arial"/>
          <w:sz w:val="22"/>
        </w:rPr>
      </w:pPr>
      <w:r>
        <w:rPr>
          <w:noProof/>
        </w:rPr>
        <w:pict w14:anchorId="55C016E1">
          <v:shape id="_x0000_s2433" type="#_x0000_t75" style="position:absolute;left:0;text-align:left;margin-left:-12pt;margin-top:5.8pt;width:468.1pt;height:179.95pt;z-index:251658267">
            <v:imagedata r:id="rId83" o:title=""/>
            <w10:wrap type="topAndBottom"/>
          </v:shape>
        </w:pi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000000" w:rsidP="002412ED">
      <w:pPr>
        <w:pStyle w:val="BodyText"/>
        <w:rPr>
          <w:rFonts w:ascii="Arial" w:hAnsi="Arial" w:cs="Arial"/>
          <w:sz w:val="22"/>
        </w:rPr>
      </w:pPr>
      <w:r>
        <w:rPr>
          <w:noProof/>
        </w:rPr>
        <w:pict w14:anchorId="453A9785">
          <v:shape id="_x0000_s2435" type="#_x0000_t75" style="position:absolute;margin-left:-23.35pt;margin-top:33.75pt;width:484.5pt;height:187.5pt;z-index:251658268">
            <v:imagedata r:id="rId84" o:title=""/>
            <w10:wrap type="topAndBottom"/>
          </v:shape>
        </w:pi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000000" w:rsidP="002412ED">
      <w:pPr>
        <w:pStyle w:val="BodyText"/>
        <w:rPr>
          <w:rFonts w:ascii="Arial" w:hAnsi="Arial" w:cs="Arial"/>
          <w:sz w:val="22"/>
        </w:rPr>
      </w:pPr>
      <w:r>
        <w:rPr>
          <w:rFonts w:ascii="Arial" w:hAnsi="Arial" w:cs="Arial"/>
          <w:noProof/>
          <w:sz w:val="22"/>
        </w:rPr>
        <w:pict w14:anchorId="73D3A4BA">
          <v:shape id="_x0000_s2436" type="#_x0000_t75" style="position:absolute;margin-left:-22pt;margin-top:23.3pt;width:498.35pt;height:221.3pt;z-index:251658269">
            <v:imagedata r:id="rId85" o:title=""/>
            <w10:wrap type="topAndBottom"/>
          </v:shape>
        </w:pi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000000" w:rsidP="002412ED">
      <w:pPr>
        <w:pStyle w:val="BodyText2"/>
        <w:jc w:val="both"/>
        <w:rPr>
          <w:rFonts w:ascii="Arial" w:hAnsi="Arial" w:cs="Arial"/>
          <w:i w:val="0"/>
        </w:rPr>
      </w:pPr>
      <w:r>
        <w:rPr>
          <w:rFonts w:ascii="Arial" w:hAnsi="Arial" w:cs="Arial"/>
          <w:i w:val="0"/>
          <w:noProof/>
          <w:lang w:eastAsia="en-GB"/>
        </w:rPr>
        <w:pict w14:anchorId="1963647D">
          <v:shape id="_x0000_s2437" type="#_x0000_t75" style="position:absolute;left:0;text-align:left;margin-left:-.65pt;margin-top:-18.1pt;width:484.5pt;height:198.05pt;z-index:251658270">
            <v:imagedata r:id="rId86" o:title=""/>
            <w10:wrap type="topAndBottom"/>
          </v:shape>
        </w:pi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Total Year Round cost = 425 X 10  = 4,250 MWkm</w:t>
      </w:r>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MWkm cost</w:t>
      </w:r>
      <w:r w:rsidR="002412ED" w:rsidRPr="002412ED">
        <w:rPr>
          <w:rFonts w:ascii="Arial" w:hAnsi="Arial" w:cs="Arial"/>
          <w:i w:val="0"/>
        </w:rPr>
        <w:t xml:space="preserve"> </w:t>
      </w:r>
      <w:r w:rsidR="002412ED">
        <w:rPr>
          <w:rFonts w:ascii="Arial" w:hAnsi="Arial" w:cs="Arial"/>
          <w:i w:val="0"/>
        </w:rPr>
        <w:t>and Year Round MWkm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6C660A0"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.5 MWkm</w:t>
      </w:r>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1"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257763A9" id="Canvas 398" o:spid="_x0000_s1026" editas="canvas" style="position:absolute;margin-left:-8.9pt;margin-top:24.85pt;width:212.5pt;height:83.85pt;z-index:251658271"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r>
        <w:rPr>
          <w:rFonts w:ascii="Arial" w:hAnsi="Arial"/>
          <w:sz w:val="22"/>
        </w:rPr>
        <w:t>Thus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(i.e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407" w:name="_Toc32201103"/>
      <w:r>
        <w:br w:type="page"/>
      </w:r>
      <w:bookmarkStart w:id="408" w:name="_Toc49661153"/>
      <w:bookmarkStart w:id="409" w:name="_Toc274049732"/>
      <w:r w:rsidR="00CD2194" w:rsidRPr="00C5521A">
        <w:rPr>
          <w:color w:val="auto"/>
        </w:rPr>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1693"/>
        <w:gridCol w:w="1693"/>
        <w:gridCol w:w="1693"/>
        <w:gridCol w:w="1677"/>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Zonal MWkm</w:t>
            </w:r>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5"/>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Doundary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MWkm of 0).  These not-shared zonal incremental km are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0"/>
        <w:gridCol w:w="1690"/>
        <w:gridCol w:w="1690"/>
        <w:gridCol w:w="1690"/>
        <w:gridCol w:w="1655"/>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Shared Zonal MWkm</w:t>
            </w:r>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MWkm of 0).  These not-shared zonal incremental km are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2"/>
        <w:gridCol w:w="1697"/>
        <w:gridCol w:w="1685"/>
        <w:gridCol w:w="1679"/>
        <w:gridCol w:w="1662"/>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Not-Shared Zonal MWkm</w:t>
            </w:r>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t>14.2</w:t>
      </w:r>
      <w:r>
        <w:rPr>
          <w:color w:val="auto"/>
          <w:sz w:val="28"/>
          <w:szCs w:val="28"/>
        </w:rPr>
        <w:t>3</w:t>
      </w:r>
      <w:r w:rsidR="006661FE" w:rsidRPr="00FE40FB">
        <w:rPr>
          <w:color w:val="auto"/>
          <w:sz w:val="28"/>
          <w:szCs w:val="28"/>
        </w:rPr>
        <w:t xml:space="preserve"> Example: Calculation of Zonal Generation Tariff</w:t>
      </w:r>
      <w:bookmarkEnd w:id="407"/>
      <w:bookmarkEnd w:id="408"/>
      <w:bookmarkEnd w:id="409"/>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In order to calculate the generation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margin" w:tblpXSpec="center" w:tblpY="-116"/>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F0305D">
        <w:trPr>
          <w:trHeight w:val="530"/>
        </w:trPr>
        <w:tc>
          <w:tcPr>
            <w:tcW w:w="589" w:type="dxa"/>
            <w:shd w:val="solid" w:color="FFFFFF" w:fill="auto"/>
            <w:vAlign w:val="center"/>
          </w:tcPr>
          <w:p w14:paraId="43017067" w14:textId="77777777" w:rsidR="00010EB2" w:rsidRDefault="00010EB2" w:rsidP="00F0305D">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F0305D">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F0305D">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F0305D">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F0305D">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F0305D">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F0305D">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F0305D">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F0305D">
        <w:trPr>
          <w:trHeight w:val="204"/>
        </w:trPr>
        <w:tc>
          <w:tcPr>
            <w:tcW w:w="589" w:type="dxa"/>
            <w:shd w:val="solid" w:color="FFFFFF" w:fill="auto"/>
          </w:tcPr>
          <w:p w14:paraId="4667B1AC"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F0305D">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F0305D">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F0305D">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F0305D">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F0305D">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F0305D">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F0305D">
            <w:pPr>
              <w:jc w:val="right"/>
              <w:rPr>
                <w:rFonts w:ascii="Arial" w:hAnsi="Arial"/>
                <w:snapToGrid w:val="0"/>
                <w:color w:val="000000"/>
              </w:rPr>
            </w:pPr>
            <w:r>
              <w:rPr>
                <w:rFonts w:ascii="Arial" w:hAnsi="Arial"/>
                <w:snapToGrid w:val="0"/>
              </w:rPr>
              <w:t>53.80</w:t>
            </w:r>
          </w:p>
        </w:tc>
      </w:tr>
      <w:tr w:rsidR="00010EB2" w14:paraId="29FD35DE" w14:textId="77777777" w:rsidTr="00F0305D">
        <w:trPr>
          <w:trHeight w:val="204"/>
        </w:trPr>
        <w:tc>
          <w:tcPr>
            <w:tcW w:w="589" w:type="dxa"/>
            <w:shd w:val="solid" w:color="FFFFFF" w:fill="auto"/>
          </w:tcPr>
          <w:p w14:paraId="202CC495"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F0305D">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F0305D">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F0305D">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F0305D">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F0305D">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F0305D">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F0305D">
            <w:pPr>
              <w:jc w:val="right"/>
              <w:rPr>
                <w:rFonts w:ascii="Arial" w:eastAsia="Arial Unicode MS" w:hAnsi="Arial"/>
              </w:rPr>
            </w:pPr>
            <w:r>
              <w:rPr>
                <w:rFonts w:ascii="Arial" w:hAnsi="Arial"/>
                <w:snapToGrid w:val="0"/>
              </w:rPr>
              <w:t>140.27</w:t>
            </w:r>
          </w:p>
        </w:tc>
      </w:tr>
      <w:tr w:rsidR="00010EB2" w14:paraId="771D642D" w14:textId="77777777" w:rsidTr="00F0305D">
        <w:trPr>
          <w:trHeight w:val="204"/>
        </w:trPr>
        <w:tc>
          <w:tcPr>
            <w:tcW w:w="589" w:type="dxa"/>
            <w:shd w:val="solid" w:color="FFFFFF" w:fill="auto"/>
          </w:tcPr>
          <w:p w14:paraId="720849D5" w14:textId="77777777" w:rsidR="00010EB2" w:rsidRDefault="00010EB2" w:rsidP="00F0305D">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F0305D">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F0305D">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F0305D">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F0305D">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F0305D">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F0305D">
            <w:pPr>
              <w:jc w:val="right"/>
              <w:rPr>
                <w:rFonts w:ascii="Arial" w:eastAsia="Arial Unicode MS" w:hAnsi="Arial"/>
              </w:rPr>
            </w:pPr>
            <w:r>
              <w:rPr>
                <w:rFonts w:ascii="Arial" w:hAnsi="Arial"/>
                <w:snapToGrid w:val="0"/>
                <w:color w:val="000000"/>
              </w:rPr>
              <w:t>28.65</w:t>
            </w:r>
          </w:p>
        </w:tc>
      </w:tr>
      <w:tr w:rsidR="00010EB2" w14:paraId="73954F97" w14:textId="77777777" w:rsidTr="00F0305D">
        <w:trPr>
          <w:trHeight w:val="234"/>
        </w:trPr>
        <w:tc>
          <w:tcPr>
            <w:tcW w:w="589" w:type="dxa"/>
            <w:shd w:val="solid" w:color="FFFFFF" w:fill="auto"/>
            <w:vAlign w:val="center"/>
          </w:tcPr>
          <w:p w14:paraId="3D98F8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F0305D">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F0305D">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F0305D">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F0305D">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F0305D">
            <w:pPr>
              <w:jc w:val="right"/>
              <w:rPr>
                <w:rFonts w:ascii="Arial" w:hAnsi="Arial"/>
                <w:color w:val="000000"/>
              </w:rPr>
            </w:pPr>
            <w:r>
              <w:rPr>
                <w:rFonts w:ascii="Arial" w:hAnsi="Arial"/>
                <w:snapToGrid w:val="0"/>
                <w:color w:val="000000"/>
              </w:rPr>
              <w:t>212.52</w:t>
            </w:r>
          </w:p>
        </w:tc>
      </w:tr>
      <w:tr w:rsidR="00010EB2" w14:paraId="2DC62462" w14:textId="77777777" w:rsidTr="00F0305D">
        <w:trPr>
          <w:trHeight w:val="219"/>
        </w:trPr>
        <w:tc>
          <w:tcPr>
            <w:tcW w:w="589" w:type="dxa"/>
            <w:shd w:val="solid" w:color="FFFFFF" w:fill="auto"/>
            <w:vAlign w:val="center"/>
          </w:tcPr>
          <w:p w14:paraId="421B41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F0305D">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F0305D">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F0305D">
            <w:pPr>
              <w:jc w:val="right"/>
              <w:rPr>
                <w:rFonts w:ascii="Arial" w:hAnsi="Arial"/>
                <w:snapToGrid w:val="0"/>
                <w:color w:val="000000"/>
              </w:rPr>
            </w:pPr>
            <w:r>
              <w:rPr>
                <w:noProof/>
              </w:rPr>
              <mc:AlternateContent>
                <mc:Choice Requires="wps">
                  <w:drawing>
                    <wp:anchor distT="0" distB="0" distL="114300" distR="114300" simplePos="0" relativeHeight="251658274"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821918" id="Straight Connector 87" o:spid="_x0000_s1026" style="position:absolute;flip:y;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F0305D">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F0305D">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F0305D">
            <w:pPr>
              <w:jc w:val="right"/>
              <w:rPr>
                <w:rFonts w:ascii="Arial" w:hAnsi="Arial"/>
                <w:color w:val="000000"/>
              </w:rPr>
            </w:pPr>
            <w:r>
              <w:rPr>
                <w:rFonts w:ascii="Arial" w:hAnsi="Arial"/>
                <w:snapToGrid w:val="0"/>
                <w:color w:val="000000"/>
              </w:rPr>
              <w:t>81.58</w:t>
            </w:r>
          </w:p>
        </w:tc>
      </w:tr>
      <w:tr w:rsidR="00010EB2" w14:paraId="5FBEF1C8" w14:textId="77777777" w:rsidTr="00F0305D">
        <w:trPr>
          <w:trHeight w:val="226"/>
        </w:trPr>
        <w:tc>
          <w:tcPr>
            <w:tcW w:w="589" w:type="dxa"/>
            <w:shd w:val="solid" w:color="FFFFFF" w:fill="auto"/>
            <w:vAlign w:val="center"/>
          </w:tcPr>
          <w:p w14:paraId="256E9354" w14:textId="77777777" w:rsidR="00010EB2" w:rsidRDefault="00010EB2" w:rsidP="00F0305D">
            <w:pPr>
              <w:jc w:val="both"/>
              <w:rPr>
                <w:rFonts w:ascii="Arial" w:hAnsi="Arial"/>
                <w:color w:val="000000"/>
              </w:rPr>
            </w:pPr>
          </w:p>
        </w:tc>
        <w:tc>
          <w:tcPr>
            <w:tcW w:w="1010" w:type="dxa"/>
            <w:shd w:val="solid" w:color="FFFFFF" w:fill="auto"/>
            <w:vAlign w:val="center"/>
          </w:tcPr>
          <w:p w14:paraId="1E16BB2F" w14:textId="77777777" w:rsidR="00010EB2" w:rsidRDefault="00010EB2" w:rsidP="00F0305D">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F0305D">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F0305D">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F0305D">
            <w:pPr>
              <w:jc w:val="both"/>
              <w:rPr>
                <w:rFonts w:ascii="Arial" w:hAnsi="Arial"/>
                <w:color w:val="000000"/>
              </w:rPr>
            </w:pPr>
          </w:p>
        </w:tc>
        <w:tc>
          <w:tcPr>
            <w:tcW w:w="1459" w:type="dxa"/>
            <w:shd w:val="solid" w:color="FFFFFF" w:fill="auto"/>
          </w:tcPr>
          <w:p w14:paraId="46436A40" w14:textId="77777777" w:rsidR="00010EB2" w:rsidRDefault="00010EB2" w:rsidP="00F0305D">
            <w:pPr>
              <w:jc w:val="both"/>
              <w:rPr>
                <w:rFonts w:ascii="Arial" w:hAnsi="Arial"/>
                <w:color w:val="000000"/>
              </w:rPr>
            </w:pPr>
          </w:p>
        </w:tc>
        <w:tc>
          <w:tcPr>
            <w:tcW w:w="1459" w:type="dxa"/>
            <w:shd w:val="solid" w:color="FFFFFF" w:fill="auto"/>
          </w:tcPr>
          <w:p w14:paraId="234FE36E" w14:textId="77777777" w:rsidR="00010EB2" w:rsidRDefault="00010EB2" w:rsidP="00F0305D">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F0305D">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6"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6"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410" w:name="_Toc32201104"/>
      <w:bookmarkStart w:id="411" w:name="_Toc49661154"/>
      <w:bookmarkStart w:id="412"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410"/>
      <w:bookmarkEnd w:id="411"/>
      <w:bookmarkEnd w:id="412"/>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Cambria Math" w:hAnsi="Cambria Math"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57C73D47" w14:textId="38BB7AAE" w:rsidR="006661FE" w:rsidRPr="00CD5631" w:rsidRDefault="5083A541" w:rsidP="416E5148">
      <w:pPr>
        <w:ind w:left="709" w:hanging="709"/>
        <w:jc w:val="both"/>
        <w:rPr>
          <w:rFonts w:ascii="Arial" w:hAnsi="Arial" w:cs="Arial"/>
          <w:b/>
          <w:bCs/>
          <w:sz w:val="28"/>
          <w:szCs w:val="28"/>
        </w:rPr>
      </w:pPr>
      <w:r w:rsidRPr="416E5148">
        <w:rPr>
          <w:rFonts w:ascii="Arial" w:hAnsi="Arial" w:cs="Arial"/>
          <w:noProof/>
          <w:sz w:val="22"/>
          <w:szCs w:val="22"/>
        </w:rPr>
        <w:t>(vii)</w:t>
      </w:r>
      <w:r>
        <w:tab/>
      </w:r>
      <w:r w:rsidRPr="416E5148">
        <w:rPr>
          <w:rFonts w:ascii="Arial" w:hAnsi="Arial" w:cs="Arial"/>
          <w:noProof/>
          <w:sz w:val="22"/>
          <w:szCs w:val="22"/>
        </w:rPr>
        <w:t xml:space="preserve">The </w:t>
      </w:r>
      <w:r w:rsidR="64074FA1" w:rsidRPr="416E5148">
        <w:rPr>
          <w:rFonts w:ascii="Arial" w:hAnsi="Arial" w:cs="Arial"/>
          <w:noProof/>
          <w:sz w:val="22"/>
          <w:szCs w:val="22"/>
        </w:rPr>
        <w:t xml:space="preserve">Transmission Demand Residual tariff is subject to further adjustment to allow for the minimum £0/kW gross demand charge. </w:t>
      </w:r>
      <w:bookmarkStart w:id="413" w:name="_Ref491664379"/>
      <w:bookmarkStart w:id="414" w:name="_Toc32201105"/>
      <w:r w:rsidRPr="416E5148">
        <w:rPr>
          <w:rFonts w:ascii="Arial" w:hAnsi="Arial" w:cs="Arial"/>
          <w:sz w:val="22"/>
          <w:szCs w:val="22"/>
        </w:rPr>
        <w:br w:type="page"/>
      </w:r>
      <w:bookmarkStart w:id="415" w:name="_Toc49661155"/>
      <w:bookmarkStart w:id="416" w:name="_Toc274049734"/>
      <w:r w:rsidR="006661FE" w:rsidRPr="416E5148">
        <w:rPr>
          <w:rFonts w:ascii="Arial" w:hAnsi="Arial" w:cs="Arial"/>
          <w:b/>
          <w:bCs/>
          <w:sz w:val="28"/>
          <w:szCs w:val="28"/>
        </w:rPr>
        <w:t>14.2</w:t>
      </w:r>
      <w:r w:rsidR="00436045" w:rsidRPr="416E5148">
        <w:rPr>
          <w:rFonts w:ascii="Arial" w:hAnsi="Arial" w:cs="Arial"/>
          <w:b/>
          <w:bCs/>
          <w:sz w:val="28"/>
          <w:szCs w:val="28"/>
        </w:rPr>
        <w:t>5</w:t>
      </w:r>
      <w:r w:rsidR="006661FE" w:rsidRPr="416E5148">
        <w:rPr>
          <w:rFonts w:ascii="Arial" w:hAnsi="Arial" w:cs="Arial"/>
          <w:b/>
          <w:bCs/>
          <w:sz w:val="28"/>
          <w:szCs w:val="28"/>
        </w:rPr>
        <w:t xml:space="preserve"> Reconciliation of Demand Related Transmission Network Use of System Charges</w:t>
      </w:r>
      <w:bookmarkEnd w:id="413"/>
      <w:bookmarkEnd w:id="414"/>
      <w:bookmarkEnd w:id="415"/>
      <w:bookmarkEnd w:id="416"/>
    </w:p>
    <w:p w14:paraId="1186C009" w14:textId="77777777" w:rsidR="006661FE" w:rsidRDefault="006661FE" w:rsidP="006661FE">
      <w:pPr>
        <w:pStyle w:val="1"/>
        <w:jc w:val="both"/>
      </w:pPr>
    </w:p>
    <w:p w14:paraId="7981DAAE" w14:textId="292F6F9F" w:rsidR="006661FE" w:rsidRPr="004248A1" w:rsidRDefault="006661FE" w:rsidP="416E5148">
      <w:pPr>
        <w:pStyle w:val="BodyText"/>
        <w:rPr>
          <w:rFonts w:ascii="Arial" w:hAnsi="Arial" w:cs="Arial"/>
          <w:sz w:val="22"/>
          <w:szCs w:val="22"/>
        </w:rPr>
      </w:pPr>
      <w:bookmarkStart w:id="417" w:name="_Hlt479666837"/>
      <w:bookmarkStart w:id="418" w:name="_Hlt506623598"/>
      <w:bookmarkEnd w:id="417"/>
      <w:bookmarkEnd w:id="418"/>
      <w:r w:rsidRPr="416E5148">
        <w:rPr>
          <w:rFonts w:ascii="Arial" w:hAnsi="Arial" w:cs="Arial"/>
          <w:sz w:val="22"/>
          <w:szCs w:val="22"/>
        </w:rPr>
        <w:t xml:space="preserve">This appendix illustrates the methodology used by </w:t>
      </w:r>
      <w:r w:rsidR="00E71EB2" w:rsidRPr="416E5148">
        <w:rPr>
          <w:rFonts w:ascii="Arial" w:hAnsi="Arial" w:cs="Arial"/>
          <w:b/>
          <w:bCs/>
          <w:sz w:val="22"/>
          <w:szCs w:val="22"/>
        </w:rPr>
        <w:t>The Company</w:t>
      </w:r>
      <w:r w:rsidRPr="416E5148">
        <w:rPr>
          <w:rFonts w:ascii="Arial" w:hAnsi="Arial" w:cs="Arial"/>
          <w:sz w:val="22"/>
          <w:szCs w:val="22"/>
        </w:rPr>
        <w:t xml:space="preserve"> in the reconciliation of Transmission Network Use of System charges for</w:t>
      </w:r>
      <w:r w:rsidR="003A0CB9" w:rsidRPr="416E5148">
        <w:rPr>
          <w:rFonts w:ascii="Arial" w:hAnsi="Arial" w:cs="Arial"/>
          <w:sz w:val="22"/>
          <w:szCs w:val="22"/>
        </w:rPr>
        <w:t xml:space="preserve"> </w:t>
      </w:r>
      <w:r w:rsidRPr="416E5148">
        <w:rPr>
          <w:rFonts w:ascii="Arial" w:hAnsi="Arial" w:cs="Arial"/>
          <w:sz w:val="22"/>
          <w:szCs w:val="22"/>
        </w:rPr>
        <w:t>demand</w:t>
      </w:r>
      <w:r w:rsidR="005E531F" w:rsidRPr="416E5148">
        <w:rPr>
          <w:rFonts w:ascii="Arial" w:hAnsi="Arial" w:cs="Arial"/>
          <w:sz w:val="22"/>
          <w:szCs w:val="22"/>
        </w:rPr>
        <w:t xml:space="preserve">. </w:t>
      </w:r>
      <w:r w:rsidRPr="416E5148">
        <w:rPr>
          <w:rFonts w:ascii="Arial" w:hAnsi="Arial" w:cs="Arial"/>
          <w:sz w:val="22"/>
          <w:szCs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419" w:name="_Toc946728"/>
    </w:p>
    <w:p w14:paraId="2D914181" w14:textId="376F6C98" w:rsidR="006661FE" w:rsidRPr="004248A1" w:rsidRDefault="006661FE" w:rsidP="006661FE">
      <w:pPr>
        <w:pStyle w:val="Heading2"/>
        <w:rPr>
          <w:rFonts w:ascii="Arial" w:hAnsi="Arial" w:cs="Arial"/>
        </w:rPr>
      </w:pPr>
      <w:bookmarkStart w:id="420" w:name="_Toc32201106"/>
      <w:bookmarkStart w:id="421" w:name="_Toc49661156"/>
      <w:bookmarkStart w:id="422" w:name="_Toc274049735"/>
      <w:r w:rsidRPr="416E5148">
        <w:rPr>
          <w:rFonts w:ascii="Arial" w:hAnsi="Arial" w:cs="Arial"/>
        </w:rPr>
        <w:t>Monthly Charges</w:t>
      </w:r>
      <w:r w:rsidR="7D3750BB" w:rsidRPr="416E5148">
        <w:rPr>
          <w:rFonts w:ascii="Arial" w:hAnsi="Arial" w:cs="Arial"/>
        </w:rPr>
        <w:t xml:space="preserve"> </w:t>
      </w:r>
      <w:r w:rsidR="00D41819">
        <w:rPr>
          <w:rFonts w:ascii="Arial" w:hAnsi="Arial" w:cs="Arial"/>
        </w:rPr>
        <w:t xml:space="preserve">- </w:t>
      </w:r>
      <w:r w:rsidR="7D3750BB" w:rsidRPr="416E5148">
        <w:rPr>
          <w:rFonts w:ascii="Arial" w:hAnsi="Arial" w:cs="Arial"/>
        </w:rPr>
        <w:t>HH and NHH</w:t>
      </w:r>
      <w:bookmarkEnd w:id="419"/>
      <w:bookmarkEnd w:id="420"/>
      <w:bookmarkEnd w:id="421"/>
      <w:bookmarkEnd w:id="422"/>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416E5148">
        <w:trPr>
          <w:trHeight w:val="1114"/>
        </w:trPr>
        <w:tc>
          <w:tcPr>
            <w:tcW w:w="629" w:type="dxa"/>
            <w:tcBorders>
              <w:top w:val="single" w:sz="4" w:space="0" w:color="auto"/>
              <w:bottom w:val="nil"/>
              <w:right w:val="nil"/>
            </w:tcBorders>
            <w:vAlign w:val="center"/>
          </w:tcPr>
          <w:p w14:paraId="0029D3A2" w14:textId="77777777" w:rsidR="003A0CB9" w:rsidRPr="0098730D" w:rsidRDefault="003A0CB9" w:rsidP="416E5148">
            <w:pPr>
              <w:rPr>
                <w:rFonts w:ascii="Arial" w:hAnsi="Arial"/>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Pr="0098730D" w:rsidRDefault="003A0CB9" w:rsidP="416E5148">
            <w:pPr>
              <w:jc w:val="center"/>
              <w:rPr>
                <w:rFonts w:ascii="Arial" w:hAnsi="Arial"/>
              </w:rPr>
            </w:pPr>
            <w:r w:rsidRPr="0098730D">
              <w:rPr>
                <w:rFonts w:ascii="Arial" w:hAnsi="Arial"/>
              </w:rPr>
              <w:t>Forecast HH</w:t>
            </w:r>
          </w:p>
          <w:p w14:paraId="605686D0" w14:textId="77777777" w:rsidR="003A0CB9" w:rsidRPr="0098730D" w:rsidRDefault="003A0CB9" w:rsidP="416E5148">
            <w:pPr>
              <w:jc w:val="center"/>
              <w:rPr>
                <w:rFonts w:ascii="Arial" w:hAnsi="Arial"/>
              </w:rPr>
            </w:pPr>
            <w:r w:rsidRPr="0098730D">
              <w:rPr>
                <w:rFonts w:ascii="Arial" w:hAnsi="Arial"/>
              </w:rPr>
              <w:t>Triad Gross Demand</w:t>
            </w:r>
          </w:p>
          <w:p w14:paraId="727EBEA3" w14:textId="77777777" w:rsidR="003A0CB9" w:rsidRPr="0098730D" w:rsidRDefault="003A0CB9" w:rsidP="416E5148">
            <w:pPr>
              <w:jc w:val="center"/>
              <w:rPr>
                <w:rFonts w:ascii="Arial" w:hAnsi="Arial"/>
              </w:rPr>
            </w:pPr>
            <w:r w:rsidRPr="0098730D">
              <w:rPr>
                <w:rFonts w:ascii="Arial" w:hAnsi="Arial"/>
              </w:rPr>
              <w:t>HHD</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Pr="0098730D" w:rsidRDefault="003A0CB9" w:rsidP="416E5148">
            <w:pPr>
              <w:jc w:val="center"/>
              <w:rPr>
                <w:rFonts w:ascii="Arial" w:hAnsi="Arial"/>
              </w:rPr>
            </w:pPr>
            <w:r w:rsidRPr="0098730D">
              <w:rPr>
                <w:rFonts w:ascii="Arial" w:hAnsi="Arial"/>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Pr="0098730D" w:rsidRDefault="003A0CB9" w:rsidP="416E5148">
            <w:pPr>
              <w:jc w:val="center"/>
              <w:rPr>
                <w:rFonts w:ascii="Arial" w:hAnsi="Arial"/>
              </w:rPr>
            </w:pPr>
            <w:r w:rsidRPr="0098730D">
              <w:rPr>
                <w:rFonts w:ascii="Arial" w:hAnsi="Arial"/>
              </w:rPr>
              <w:t>Forecast HH</w:t>
            </w:r>
          </w:p>
          <w:p w14:paraId="2F6B3307" w14:textId="77777777" w:rsidR="003A0CB9" w:rsidRPr="0098730D" w:rsidRDefault="003A0CB9" w:rsidP="416E5148">
            <w:pPr>
              <w:jc w:val="center"/>
              <w:rPr>
                <w:rFonts w:ascii="Arial" w:hAnsi="Arial"/>
              </w:rPr>
            </w:pPr>
            <w:r w:rsidRPr="0098730D">
              <w:rPr>
                <w:rFonts w:ascii="Arial" w:hAnsi="Arial"/>
              </w:rPr>
              <w:t>Triad Embedded Export</w:t>
            </w:r>
          </w:p>
          <w:p w14:paraId="3E916823" w14:textId="77777777" w:rsidR="003A0CB9" w:rsidRPr="0098730D" w:rsidRDefault="003A0CB9" w:rsidP="416E5148">
            <w:pPr>
              <w:tabs>
                <w:tab w:val="left" w:pos="1440"/>
              </w:tabs>
              <w:jc w:val="center"/>
              <w:rPr>
                <w:rFonts w:ascii="Arial" w:hAnsi="Arial"/>
              </w:rPr>
            </w:pPr>
            <w:r w:rsidRPr="0098730D">
              <w:rPr>
                <w:rFonts w:ascii="Arial" w:hAnsi="Arial"/>
              </w:rPr>
              <w:t>HHEE</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Pr="0098730D" w:rsidRDefault="003A0CB9" w:rsidP="416E5148">
            <w:pPr>
              <w:jc w:val="center"/>
              <w:rPr>
                <w:rFonts w:ascii="Arial" w:hAnsi="Arial"/>
              </w:rPr>
            </w:pPr>
            <w:r w:rsidRPr="0098730D">
              <w:rPr>
                <w:rFonts w:ascii="Arial" w:hAnsi="Arial"/>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Pr="0098730D" w:rsidRDefault="003A0CB9" w:rsidP="416E5148">
            <w:pPr>
              <w:jc w:val="center"/>
              <w:rPr>
                <w:rFonts w:ascii="Arial" w:hAnsi="Arial"/>
              </w:rPr>
            </w:pPr>
            <w:r w:rsidRPr="0098730D">
              <w:rPr>
                <w:rFonts w:ascii="Arial" w:hAnsi="Arial"/>
              </w:rPr>
              <w:t>Forecast NHH</w:t>
            </w:r>
          </w:p>
          <w:p w14:paraId="05610066" w14:textId="77777777" w:rsidR="003A0CB9" w:rsidRPr="0098730D" w:rsidRDefault="003A0CB9" w:rsidP="416E5148">
            <w:pPr>
              <w:jc w:val="center"/>
              <w:rPr>
                <w:rFonts w:ascii="Arial" w:hAnsi="Arial"/>
              </w:rPr>
            </w:pPr>
            <w:r w:rsidRPr="0098730D">
              <w:rPr>
                <w:rFonts w:ascii="Arial" w:hAnsi="Arial"/>
              </w:rPr>
              <w:t>Energy Consumption</w:t>
            </w:r>
          </w:p>
          <w:p w14:paraId="755905BE" w14:textId="77777777" w:rsidR="003A0CB9" w:rsidRPr="0098730D" w:rsidRDefault="003A0CB9" w:rsidP="416E5148">
            <w:pPr>
              <w:jc w:val="center"/>
              <w:rPr>
                <w:rFonts w:ascii="Arial" w:hAnsi="Arial"/>
              </w:rPr>
            </w:pPr>
            <w:r w:rsidRPr="0098730D">
              <w:rPr>
                <w:rFonts w:ascii="Arial" w:hAnsi="Arial"/>
              </w:rPr>
              <w:t>NHHC</w:t>
            </w:r>
            <w:r w:rsidRPr="0098730D">
              <w:rPr>
                <w:rFonts w:ascii="Arial" w:hAnsi="Arial"/>
                <w:vertAlign w:val="subscript"/>
              </w:rPr>
              <w:t>F</w:t>
            </w:r>
            <w:r w:rsidRPr="0098730D">
              <w:rPr>
                <w:rFonts w:ascii="Arial" w:hAnsi="Arial"/>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Pr="0098730D" w:rsidRDefault="003A0CB9" w:rsidP="416E5148">
            <w:pPr>
              <w:jc w:val="center"/>
              <w:rPr>
                <w:rFonts w:ascii="Arial" w:hAnsi="Arial"/>
              </w:rPr>
            </w:pPr>
            <w:r w:rsidRPr="0098730D">
              <w:rPr>
                <w:rFonts w:ascii="Arial" w:hAnsi="Arial"/>
              </w:rPr>
              <w:t>NHH Monthly Invoiced Amount (£)</w:t>
            </w:r>
          </w:p>
        </w:tc>
        <w:tc>
          <w:tcPr>
            <w:tcW w:w="1227" w:type="dxa"/>
            <w:tcBorders>
              <w:top w:val="single" w:sz="4" w:space="0" w:color="auto"/>
              <w:left w:val="nil"/>
              <w:bottom w:val="nil"/>
            </w:tcBorders>
            <w:vAlign w:val="center"/>
          </w:tcPr>
          <w:p w14:paraId="38701C48" w14:textId="77777777" w:rsidR="003A0CB9" w:rsidRPr="0098730D" w:rsidRDefault="003A0CB9" w:rsidP="416E5148">
            <w:pPr>
              <w:jc w:val="center"/>
              <w:rPr>
                <w:rFonts w:ascii="Arial" w:hAnsi="Arial"/>
              </w:rPr>
            </w:pPr>
            <w:r w:rsidRPr="0098730D">
              <w:rPr>
                <w:rFonts w:ascii="Arial" w:hAnsi="Arial"/>
              </w:rPr>
              <w:t>Net Monthly Invoiced Amount (£)</w:t>
            </w:r>
          </w:p>
        </w:tc>
      </w:tr>
      <w:tr w:rsidR="003A0CB9" w:rsidRPr="00506BD8" w14:paraId="51F1984F" w14:textId="77777777" w:rsidTr="416E5148">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Pr="0098730D" w:rsidRDefault="003A0CB9" w:rsidP="416E5148">
            <w:pPr>
              <w:jc w:val="center"/>
              <w:rPr>
                <w:rFonts w:ascii="Arial" w:hAnsi="Arial"/>
              </w:rPr>
            </w:pPr>
            <w:r w:rsidRPr="0098730D">
              <w:rPr>
                <w:rFonts w:ascii="Arial" w:hAnsi="Arial"/>
              </w:rPr>
              <w:t>Apr</w:t>
            </w:r>
          </w:p>
        </w:tc>
        <w:tc>
          <w:tcPr>
            <w:tcW w:w="1226" w:type="dxa"/>
            <w:tcBorders>
              <w:top w:val="single" w:sz="4" w:space="0" w:color="auto"/>
              <w:left w:val="single" w:sz="4" w:space="0" w:color="auto"/>
              <w:bottom w:val="nil"/>
              <w:right w:val="nil"/>
            </w:tcBorders>
            <w:vAlign w:val="center"/>
          </w:tcPr>
          <w:p w14:paraId="41567E7F"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2E3FAC2C" w14:textId="77777777" w:rsidR="003A0CB9" w:rsidRPr="0098730D" w:rsidRDefault="003A0CB9" w:rsidP="416E5148">
            <w:pPr>
              <w:pStyle w:val="CommentText"/>
              <w:jc w:val="center"/>
            </w:pPr>
            <w:r w:rsidRPr="0098730D">
              <w:t>10,000</w:t>
            </w:r>
          </w:p>
        </w:tc>
        <w:tc>
          <w:tcPr>
            <w:tcW w:w="1227" w:type="dxa"/>
            <w:tcBorders>
              <w:top w:val="nil"/>
              <w:left w:val="single" w:sz="4" w:space="0" w:color="auto"/>
              <w:bottom w:val="nil"/>
              <w:right w:val="single" w:sz="4" w:space="0" w:color="auto"/>
            </w:tcBorders>
          </w:tcPr>
          <w:p w14:paraId="5BBCEC40" w14:textId="77777777" w:rsidR="003A0CB9" w:rsidRPr="0098730D" w:rsidRDefault="003A0CB9" w:rsidP="416E5148">
            <w:pPr>
              <w:pStyle w:val="CommentText"/>
              <w:jc w:val="center"/>
            </w:pPr>
            <w:r w:rsidRPr="0098730D">
              <w:t>-600</w:t>
            </w:r>
          </w:p>
        </w:tc>
        <w:tc>
          <w:tcPr>
            <w:tcW w:w="1226" w:type="dxa"/>
            <w:tcBorders>
              <w:top w:val="nil"/>
              <w:left w:val="single" w:sz="4" w:space="0" w:color="auto"/>
              <w:bottom w:val="nil"/>
              <w:right w:val="single" w:sz="4" w:space="0" w:color="auto"/>
            </w:tcBorders>
          </w:tcPr>
          <w:p w14:paraId="79C02C09" w14:textId="77777777" w:rsidR="003A0CB9" w:rsidRPr="0098730D" w:rsidRDefault="003A0CB9" w:rsidP="416E5148">
            <w:pPr>
              <w:pStyle w:val="CommentText"/>
              <w:jc w:val="center"/>
              <w:rPr>
                <w:rFonts w:cs="Arial"/>
              </w:rPr>
            </w:pPr>
            <w:r w:rsidRPr="0098730D">
              <w:rPr>
                <w:rFonts w:cs="Arial"/>
              </w:rPr>
              <w:t>(250)</w:t>
            </w:r>
          </w:p>
        </w:tc>
        <w:tc>
          <w:tcPr>
            <w:tcW w:w="1227" w:type="dxa"/>
            <w:tcBorders>
              <w:top w:val="nil"/>
              <w:left w:val="single" w:sz="4" w:space="0" w:color="auto"/>
              <w:bottom w:val="nil"/>
            </w:tcBorders>
          </w:tcPr>
          <w:p w14:paraId="5C665ED6" w14:textId="77777777" w:rsidR="003A0CB9" w:rsidRPr="0098730D" w:rsidRDefault="003A0CB9" w:rsidP="416E5148">
            <w:pPr>
              <w:pStyle w:val="CommentText"/>
              <w:jc w:val="center"/>
            </w:pPr>
            <w:r w:rsidRPr="0098730D">
              <w:t>15,000,000</w:t>
            </w:r>
          </w:p>
        </w:tc>
        <w:tc>
          <w:tcPr>
            <w:tcW w:w="1226" w:type="dxa"/>
            <w:tcBorders>
              <w:top w:val="nil"/>
              <w:left w:val="single" w:sz="4" w:space="0" w:color="auto"/>
              <w:bottom w:val="nil"/>
            </w:tcBorders>
          </w:tcPr>
          <w:p w14:paraId="5E512476" w14:textId="77777777" w:rsidR="003A0CB9" w:rsidRPr="0098730D" w:rsidRDefault="003A0CB9" w:rsidP="416E5148">
            <w:pPr>
              <w:pStyle w:val="CommentText"/>
              <w:jc w:val="center"/>
            </w:pPr>
            <w:r w:rsidRPr="0098730D">
              <w:t>15,000</w:t>
            </w:r>
          </w:p>
        </w:tc>
        <w:tc>
          <w:tcPr>
            <w:tcW w:w="1227" w:type="dxa"/>
            <w:tcBorders>
              <w:top w:val="single" w:sz="4" w:space="0" w:color="auto"/>
              <w:left w:val="single" w:sz="4" w:space="0" w:color="auto"/>
              <w:bottom w:val="nil"/>
            </w:tcBorders>
            <w:vAlign w:val="center"/>
          </w:tcPr>
          <w:p w14:paraId="69F0B235" w14:textId="77777777" w:rsidR="003A0CB9" w:rsidRPr="0098730D" w:rsidRDefault="003A0CB9" w:rsidP="416E5148">
            <w:pPr>
              <w:pStyle w:val="CommentText"/>
              <w:jc w:val="center"/>
              <w:rPr>
                <w:rFonts w:cs="Arial"/>
              </w:rPr>
            </w:pPr>
            <w:r w:rsidRPr="0098730D">
              <w:rPr>
                <w:rFonts w:cs="Arial"/>
              </w:rPr>
              <w:t>24,750</w:t>
            </w:r>
          </w:p>
        </w:tc>
      </w:tr>
      <w:tr w:rsidR="003A0CB9" w:rsidRPr="00506BD8" w14:paraId="161C28D7" w14:textId="77777777" w:rsidTr="416E5148">
        <w:trPr>
          <w:trHeight w:val="154"/>
        </w:trPr>
        <w:tc>
          <w:tcPr>
            <w:tcW w:w="629" w:type="dxa"/>
            <w:tcBorders>
              <w:top w:val="nil"/>
              <w:left w:val="single" w:sz="4" w:space="0" w:color="auto"/>
              <w:bottom w:val="nil"/>
              <w:right w:val="nil"/>
            </w:tcBorders>
            <w:vAlign w:val="center"/>
          </w:tcPr>
          <w:p w14:paraId="3C6CEE9C" w14:textId="77777777" w:rsidR="003A0CB9" w:rsidRPr="0098730D" w:rsidRDefault="003A0CB9" w:rsidP="416E5148">
            <w:pPr>
              <w:jc w:val="center"/>
              <w:rPr>
                <w:rFonts w:ascii="Arial" w:hAnsi="Arial"/>
              </w:rPr>
            </w:pPr>
            <w:r w:rsidRPr="0098730D">
              <w:rPr>
                <w:rFonts w:ascii="Arial" w:hAnsi="Arial"/>
              </w:rPr>
              <w:t>May</w:t>
            </w:r>
          </w:p>
        </w:tc>
        <w:tc>
          <w:tcPr>
            <w:tcW w:w="1226" w:type="dxa"/>
            <w:tcBorders>
              <w:top w:val="nil"/>
              <w:left w:val="single" w:sz="4" w:space="0" w:color="auto"/>
              <w:bottom w:val="nil"/>
              <w:right w:val="nil"/>
            </w:tcBorders>
            <w:vAlign w:val="center"/>
          </w:tcPr>
          <w:p w14:paraId="3A0A9D54" w14:textId="77777777" w:rsidR="003A0CB9" w:rsidRPr="0098730D" w:rsidRDefault="003A0CB9" w:rsidP="416E5148">
            <w:pPr>
              <w:pStyle w:val="FootnoteText"/>
              <w:jc w:val="center"/>
            </w:pPr>
            <w:r w:rsidRPr="0098730D">
              <w:t>12,000</w:t>
            </w:r>
          </w:p>
        </w:tc>
        <w:tc>
          <w:tcPr>
            <w:tcW w:w="1226" w:type="dxa"/>
            <w:tcBorders>
              <w:top w:val="nil"/>
              <w:left w:val="single" w:sz="4" w:space="0" w:color="auto"/>
              <w:bottom w:val="nil"/>
            </w:tcBorders>
          </w:tcPr>
          <w:p w14:paraId="4442845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46DCF6B8"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5F1D241"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91BC02F"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48A8AA3C"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09978D8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21F0B4B3" w14:textId="77777777" w:rsidTr="416E5148">
        <w:trPr>
          <w:trHeight w:val="154"/>
        </w:trPr>
        <w:tc>
          <w:tcPr>
            <w:tcW w:w="629" w:type="dxa"/>
            <w:tcBorders>
              <w:top w:val="nil"/>
              <w:left w:val="single" w:sz="4" w:space="0" w:color="auto"/>
              <w:bottom w:val="nil"/>
              <w:right w:val="nil"/>
            </w:tcBorders>
            <w:vAlign w:val="center"/>
          </w:tcPr>
          <w:p w14:paraId="51578291" w14:textId="77777777" w:rsidR="003A0CB9" w:rsidRPr="0098730D" w:rsidRDefault="003A0CB9" w:rsidP="416E5148">
            <w:pPr>
              <w:jc w:val="center"/>
              <w:rPr>
                <w:rFonts w:ascii="Arial" w:hAnsi="Arial"/>
              </w:rPr>
            </w:pPr>
            <w:r w:rsidRPr="0098730D">
              <w:rPr>
                <w:rFonts w:ascii="Arial" w:hAnsi="Arial"/>
              </w:rPr>
              <w:t>Jun</w:t>
            </w:r>
          </w:p>
        </w:tc>
        <w:tc>
          <w:tcPr>
            <w:tcW w:w="1226" w:type="dxa"/>
            <w:tcBorders>
              <w:top w:val="nil"/>
              <w:left w:val="single" w:sz="4" w:space="0" w:color="auto"/>
              <w:bottom w:val="nil"/>
              <w:right w:val="nil"/>
            </w:tcBorders>
            <w:vAlign w:val="center"/>
          </w:tcPr>
          <w:p w14:paraId="2538D2F0"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0107F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129C8E11"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1B02E02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85DA73C"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1BE580B1"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4E86BC4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1103DBAA" w14:textId="77777777" w:rsidTr="416E5148">
        <w:trPr>
          <w:trHeight w:val="154"/>
        </w:trPr>
        <w:tc>
          <w:tcPr>
            <w:tcW w:w="629" w:type="dxa"/>
            <w:tcBorders>
              <w:top w:val="nil"/>
              <w:left w:val="single" w:sz="4" w:space="0" w:color="auto"/>
              <w:bottom w:val="nil"/>
              <w:right w:val="nil"/>
            </w:tcBorders>
            <w:vAlign w:val="center"/>
          </w:tcPr>
          <w:p w14:paraId="2A50FB83" w14:textId="77777777" w:rsidR="003A0CB9" w:rsidRPr="0098730D" w:rsidRDefault="003A0CB9" w:rsidP="416E5148">
            <w:pPr>
              <w:jc w:val="center"/>
              <w:rPr>
                <w:rFonts w:ascii="Arial" w:hAnsi="Arial"/>
              </w:rPr>
            </w:pPr>
            <w:r w:rsidRPr="0098730D">
              <w:rPr>
                <w:rFonts w:ascii="Arial" w:hAnsi="Arial"/>
              </w:rPr>
              <w:t>Jul</w:t>
            </w:r>
          </w:p>
        </w:tc>
        <w:tc>
          <w:tcPr>
            <w:tcW w:w="1226" w:type="dxa"/>
            <w:tcBorders>
              <w:top w:val="nil"/>
              <w:left w:val="single" w:sz="4" w:space="0" w:color="auto"/>
              <w:bottom w:val="nil"/>
              <w:right w:val="nil"/>
            </w:tcBorders>
            <w:vAlign w:val="center"/>
          </w:tcPr>
          <w:p w14:paraId="7FCDAB2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2CCE58"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21F4B626"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3FCA1C7"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DD71E31"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50AE21E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3578E88"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D85EE85" w14:textId="77777777" w:rsidTr="416E5148">
        <w:trPr>
          <w:trHeight w:val="154"/>
        </w:trPr>
        <w:tc>
          <w:tcPr>
            <w:tcW w:w="629" w:type="dxa"/>
            <w:tcBorders>
              <w:top w:val="nil"/>
              <w:bottom w:val="nil"/>
              <w:right w:val="nil"/>
            </w:tcBorders>
            <w:vAlign w:val="center"/>
          </w:tcPr>
          <w:p w14:paraId="5C0EBD95" w14:textId="77777777" w:rsidR="003A0CB9" w:rsidRPr="0098730D" w:rsidRDefault="003A0CB9" w:rsidP="416E5148">
            <w:pPr>
              <w:jc w:val="center"/>
              <w:rPr>
                <w:rFonts w:ascii="Arial" w:hAnsi="Arial"/>
              </w:rPr>
            </w:pPr>
            <w:r w:rsidRPr="0098730D">
              <w:rPr>
                <w:rFonts w:ascii="Arial" w:hAnsi="Arial"/>
              </w:rPr>
              <w:t>Aug</w:t>
            </w:r>
          </w:p>
        </w:tc>
        <w:tc>
          <w:tcPr>
            <w:tcW w:w="1226" w:type="dxa"/>
            <w:tcBorders>
              <w:top w:val="nil"/>
              <w:left w:val="single" w:sz="4" w:space="0" w:color="auto"/>
              <w:bottom w:val="nil"/>
              <w:right w:val="nil"/>
            </w:tcBorders>
            <w:vAlign w:val="center"/>
          </w:tcPr>
          <w:p w14:paraId="3C8BD924"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5C161604"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56576C6C"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72E7445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2D34FCDE"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64D5ACE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4564AF1"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054FE5F" w14:textId="77777777" w:rsidTr="416E5148">
        <w:trPr>
          <w:trHeight w:val="154"/>
        </w:trPr>
        <w:tc>
          <w:tcPr>
            <w:tcW w:w="629" w:type="dxa"/>
            <w:tcBorders>
              <w:top w:val="nil"/>
              <w:bottom w:val="nil"/>
              <w:right w:val="nil"/>
            </w:tcBorders>
            <w:vAlign w:val="center"/>
          </w:tcPr>
          <w:p w14:paraId="061C3E9C" w14:textId="77777777" w:rsidR="003A0CB9" w:rsidRPr="0098730D" w:rsidRDefault="003A0CB9" w:rsidP="416E5148">
            <w:pPr>
              <w:jc w:val="center"/>
              <w:rPr>
                <w:rFonts w:ascii="Arial" w:hAnsi="Arial"/>
              </w:rPr>
            </w:pPr>
            <w:r w:rsidRPr="0098730D">
              <w:rPr>
                <w:rFonts w:ascii="Arial" w:hAnsi="Arial"/>
              </w:rPr>
              <w:t>Sep</w:t>
            </w:r>
          </w:p>
        </w:tc>
        <w:tc>
          <w:tcPr>
            <w:tcW w:w="1226" w:type="dxa"/>
            <w:tcBorders>
              <w:top w:val="nil"/>
              <w:left w:val="single" w:sz="4" w:space="0" w:color="auto"/>
              <w:bottom w:val="nil"/>
              <w:right w:val="nil"/>
            </w:tcBorders>
            <w:vAlign w:val="center"/>
          </w:tcPr>
          <w:p w14:paraId="049A956E"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39635DA0"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40B939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B2A319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CBC7179"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45A1B1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FCDAC3A"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56000E9B" w14:textId="77777777" w:rsidTr="416E5148">
        <w:trPr>
          <w:trHeight w:val="154"/>
        </w:trPr>
        <w:tc>
          <w:tcPr>
            <w:tcW w:w="629" w:type="dxa"/>
            <w:tcBorders>
              <w:top w:val="nil"/>
              <w:bottom w:val="nil"/>
              <w:right w:val="nil"/>
            </w:tcBorders>
            <w:vAlign w:val="center"/>
          </w:tcPr>
          <w:p w14:paraId="77AF390E" w14:textId="77777777" w:rsidR="003A0CB9" w:rsidRPr="0098730D" w:rsidRDefault="003A0CB9" w:rsidP="416E5148">
            <w:pPr>
              <w:jc w:val="center"/>
              <w:rPr>
                <w:rFonts w:ascii="Arial" w:hAnsi="Arial"/>
              </w:rPr>
            </w:pPr>
            <w:r w:rsidRPr="0098730D">
              <w:rPr>
                <w:rFonts w:ascii="Arial" w:hAnsi="Arial"/>
              </w:rPr>
              <w:t>Oct</w:t>
            </w:r>
          </w:p>
        </w:tc>
        <w:tc>
          <w:tcPr>
            <w:tcW w:w="1226" w:type="dxa"/>
            <w:tcBorders>
              <w:top w:val="nil"/>
              <w:left w:val="single" w:sz="4" w:space="0" w:color="auto"/>
              <w:bottom w:val="nil"/>
              <w:right w:val="nil"/>
            </w:tcBorders>
            <w:vAlign w:val="center"/>
          </w:tcPr>
          <w:p w14:paraId="182CD748"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B4BAF1D"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189A9B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941154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60D9C3AB"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D345B8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CA80CC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7E188E6F" w14:textId="77777777" w:rsidTr="416E5148">
        <w:trPr>
          <w:trHeight w:val="154"/>
        </w:trPr>
        <w:tc>
          <w:tcPr>
            <w:tcW w:w="629" w:type="dxa"/>
            <w:tcBorders>
              <w:top w:val="nil"/>
              <w:bottom w:val="nil"/>
              <w:right w:val="nil"/>
            </w:tcBorders>
            <w:vAlign w:val="center"/>
          </w:tcPr>
          <w:p w14:paraId="5B3D2D25" w14:textId="77777777" w:rsidR="003A0CB9" w:rsidRPr="0098730D" w:rsidRDefault="003A0CB9" w:rsidP="416E5148">
            <w:pPr>
              <w:jc w:val="center"/>
              <w:rPr>
                <w:rFonts w:ascii="Arial" w:hAnsi="Arial"/>
              </w:rPr>
            </w:pPr>
            <w:r w:rsidRPr="0098730D">
              <w:rPr>
                <w:rFonts w:ascii="Arial" w:hAnsi="Arial"/>
              </w:rPr>
              <w:t>Nov</w:t>
            </w:r>
          </w:p>
        </w:tc>
        <w:tc>
          <w:tcPr>
            <w:tcW w:w="1226" w:type="dxa"/>
            <w:tcBorders>
              <w:top w:val="nil"/>
              <w:left w:val="single" w:sz="4" w:space="0" w:color="auto"/>
              <w:bottom w:val="nil"/>
              <w:right w:val="nil"/>
            </w:tcBorders>
            <w:vAlign w:val="center"/>
          </w:tcPr>
          <w:p w14:paraId="54F9C04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C533E57"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08B4673"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A1AA87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BBE568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009EC0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7AFCB57"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089D4625" w14:textId="77777777" w:rsidTr="416E5148">
        <w:trPr>
          <w:trHeight w:val="154"/>
        </w:trPr>
        <w:tc>
          <w:tcPr>
            <w:tcW w:w="629" w:type="dxa"/>
            <w:tcBorders>
              <w:top w:val="nil"/>
              <w:bottom w:val="nil"/>
              <w:right w:val="nil"/>
            </w:tcBorders>
            <w:vAlign w:val="center"/>
          </w:tcPr>
          <w:p w14:paraId="0F1D439F" w14:textId="77777777" w:rsidR="003A0CB9" w:rsidRPr="0098730D" w:rsidRDefault="003A0CB9" w:rsidP="416E5148">
            <w:pPr>
              <w:jc w:val="center"/>
              <w:rPr>
                <w:rFonts w:ascii="Arial" w:hAnsi="Arial"/>
              </w:rPr>
            </w:pPr>
            <w:r w:rsidRPr="0098730D">
              <w:rPr>
                <w:rFonts w:ascii="Arial" w:hAnsi="Arial"/>
              </w:rPr>
              <w:t>Dec</w:t>
            </w:r>
          </w:p>
        </w:tc>
        <w:tc>
          <w:tcPr>
            <w:tcW w:w="1226" w:type="dxa"/>
            <w:tcBorders>
              <w:top w:val="nil"/>
              <w:left w:val="single" w:sz="4" w:space="0" w:color="auto"/>
              <w:bottom w:val="nil"/>
              <w:right w:val="nil"/>
            </w:tcBorders>
            <w:vAlign w:val="center"/>
          </w:tcPr>
          <w:p w14:paraId="70B7D1A6"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56F2B18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792964A"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D9C5879"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1FAC74A"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CBC379A"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6BADE0F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39A8787D" w14:textId="77777777" w:rsidTr="416E5148">
        <w:trPr>
          <w:trHeight w:val="154"/>
        </w:trPr>
        <w:tc>
          <w:tcPr>
            <w:tcW w:w="629" w:type="dxa"/>
            <w:tcBorders>
              <w:top w:val="nil"/>
              <w:bottom w:val="nil"/>
              <w:right w:val="nil"/>
            </w:tcBorders>
            <w:vAlign w:val="center"/>
          </w:tcPr>
          <w:p w14:paraId="1498B337" w14:textId="77777777" w:rsidR="003A0CB9" w:rsidRPr="0098730D" w:rsidRDefault="003A0CB9" w:rsidP="416E5148">
            <w:pPr>
              <w:jc w:val="center"/>
              <w:rPr>
                <w:rFonts w:ascii="Arial" w:hAnsi="Arial"/>
              </w:rPr>
            </w:pPr>
            <w:r w:rsidRPr="0098730D">
              <w:rPr>
                <w:rFonts w:ascii="Arial" w:hAnsi="Arial"/>
              </w:rPr>
              <w:t>Jan</w:t>
            </w:r>
          </w:p>
        </w:tc>
        <w:tc>
          <w:tcPr>
            <w:tcW w:w="1226" w:type="dxa"/>
            <w:tcBorders>
              <w:top w:val="nil"/>
              <w:left w:val="single" w:sz="4" w:space="0" w:color="auto"/>
              <w:bottom w:val="nil"/>
              <w:right w:val="nil"/>
            </w:tcBorders>
            <w:vAlign w:val="center"/>
          </w:tcPr>
          <w:p w14:paraId="411FFA2E"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02CD8F35"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22FB853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632B28E"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1F8A9B6"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B93607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1FE89BA9"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413ECA86" w14:textId="77777777" w:rsidTr="416E5148">
        <w:trPr>
          <w:trHeight w:val="154"/>
        </w:trPr>
        <w:tc>
          <w:tcPr>
            <w:tcW w:w="629" w:type="dxa"/>
            <w:tcBorders>
              <w:top w:val="nil"/>
              <w:bottom w:val="nil"/>
              <w:right w:val="nil"/>
            </w:tcBorders>
            <w:vAlign w:val="center"/>
          </w:tcPr>
          <w:p w14:paraId="0F2321F0" w14:textId="77777777" w:rsidR="003A0CB9" w:rsidRPr="0098730D" w:rsidRDefault="003A0CB9" w:rsidP="416E5148">
            <w:pPr>
              <w:jc w:val="center"/>
              <w:rPr>
                <w:rFonts w:ascii="Arial" w:hAnsi="Arial"/>
              </w:rPr>
            </w:pPr>
            <w:r w:rsidRPr="0098730D">
              <w:rPr>
                <w:rFonts w:ascii="Arial" w:hAnsi="Arial"/>
              </w:rPr>
              <w:t>Feb</w:t>
            </w:r>
          </w:p>
        </w:tc>
        <w:tc>
          <w:tcPr>
            <w:tcW w:w="1226" w:type="dxa"/>
            <w:tcBorders>
              <w:top w:val="nil"/>
              <w:left w:val="single" w:sz="4" w:space="0" w:color="auto"/>
              <w:bottom w:val="nil"/>
              <w:right w:val="nil"/>
            </w:tcBorders>
            <w:vAlign w:val="center"/>
          </w:tcPr>
          <w:p w14:paraId="51D9B573"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812DEA3"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76F3CF3B"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261F73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3566263"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24091C2D"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C8ABB44"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0288B790" w14:textId="77777777" w:rsidTr="416E5148">
        <w:trPr>
          <w:trHeight w:val="154"/>
        </w:trPr>
        <w:tc>
          <w:tcPr>
            <w:tcW w:w="629" w:type="dxa"/>
            <w:tcBorders>
              <w:top w:val="nil"/>
              <w:bottom w:val="nil"/>
              <w:right w:val="nil"/>
            </w:tcBorders>
            <w:vAlign w:val="center"/>
          </w:tcPr>
          <w:p w14:paraId="20EC5C52" w14:textId="77777777" w:rsidR="003A0CB9" w:rsidRPr="0098730D" w:rsidRDefault="003A0CB9" w:rsidP="416E5148">
            <w:pPr>
              <w:jc w:val="center"/>
              <w:rPr>
                <w:rFonts w:ascii="Arial" w:hAnsi="Arial"/>
              </w:rPr>
            </w:pPr>
            <w:r w:rsidRPr="0098730D">
              <w:rPr>
                <w:rFonts w:ascii="Arial" w:hAnsi="Arial"/>
              </w:rPr>
              <w:t>Mar</w:t>
            </w:r>
          </w:p>
        </w:tc>
        <w:tc>
          <w:tcPr>
            <w:tcW w:w="1226" w:type="dxa"/>
            <w:tcBorders>
              <w:top w:val="nil"/>
              <w:left w:val="single" w:sz="4" w:space="0" w:color="auto"/>
              <w:bottom w:val="nil"/>
              <w:right w:val="nil"/>
            </w:tcBorders>
            <w:vAlign w:val="center"/>
          </w:tcPr>
          <w:p w14:paraId="269E8BA9"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B608C04"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31E84314"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6623700"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70E4C19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2E34F0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355B16DC"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1F5A4709" w14:textId="77777777" w:rsidTr="416E5148">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Pr="0098730D" w:rsidRDefault="003A0CB9" w:rsidP="416E5148">
            <w:pPr>
              <w:jc w:val="center"/>
              <w:rPr>
                <w:rFonts w:ascii="Arial" w:hAnsi="Arial"/>
              </w:rPr>
            </w:pPr>
            <w:r w:rsidRPr="0098730D">
              <w:rPr>
                <w:rFonts w:ascii="Arial" w:hAnsi="Arial"/>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Pr="0098730D" w:rsidRDefault="003A0CB9" w:rsidP="416E5148">
            <w:pPr>
              <w:tabs>
                <w:tab w:val="decimal" w:pos="1876"/>
              </w:tabs>
              <w:rPr>
                <w:rFonts w:ascii="Arial" w:hAnsi="Arial"/>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Pr="0098730D" w:rsidRDefault="003A0CB9" w:rsidP="416E5148">
            <w:pPr>
              <w:jc w:val="center"/>
              <w:rPr>
                <w:rFonts w:ascii="Arial" w:hAnsi="Arial"/>
              </w:rPr>
            </w:pPr>
            <w:r w:rsidRPr="0098730D">
              <w:rPr>
                <w:rFonts w:ascii="Arial" w:hAnsi="Arial"/>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Pr="0098730D" w:rsidRDefault="003A0CB9" w:rsidP="416E5148">
            <w:pPr>
              <w:jc w:val="center"/>
              <w:rPr>
                <w:rFonts w:ascii="Arial" w:hAnsi="Arial"/>
              </w:rPr>
            </w:pPr>
            <w:r w:rsidRPr="0098730D">
              <w:rPr>
                <w:rFonts w:ascii="Arial" w:hAnsi="Arial"/>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Pr="0098730D" w:rsidRDefault="003A0CB9" w:rsidP="416E5148">
            <w:pPr>
              <w:jc w:val="center"/>
              <w:rPr>
                <w:rFonts w:ascii="Arial" w:hAnsi="Arial"/>
              </w:rPr>
            </w:pPr>
            <w:r w:rsidRPr="0098730D">
              <w:rPr>
                <w:rFonts w:ascii="Arial" w:hAnsi="Arial"/>
              </w:rPr>
              <w:t>216,000</w:t>
            </w:r>
          </w:p>
        </w:tc>
        <w:tc>
          <w:tcPr>
            <w:tcW w:w="1227" w:type="dxa"/>
            <w:tcBorders>
              <w:top w:val="single" w:sz="4" w:space="0" w:color="auto"/>
              <w:left w:val="single" w:sz="4" w:space="0" w:color="auto"/>
              <w:bottom w:val="single" w:sz="4" w:space="0" w:color="auto"/>
            </w:tcBorders>
            <w:vAlign w:val="center"/>
          </w:tcPr>
          <w:p w14:paraId="571D6FE3" w14:textId="1176EC27" w:rsidR="003A0CB9" w:rsidRPr="0098730D" w:rsidRDefault="78E6EDE4" w:rsidP="416E5148">
            <w:pPr>
              <w:jc w:val="center"/>
              <w:rPr>
                <w:rFonts w:ascii="Arial" w:hAnsi="Arial" w:cs="Arial"/>
              </w:rPr>
            </w:pPr>
            <w:r w:rsidRPr="0098730D">
              <w:rPr>
                <w:rFonts w:ascii="Arial" w:hAnsi="Arial" w:cs="Arial"/>
              </w:rPr>
              <w:t>285</w:t>
            </w:r>
            <w:r w:rsidR="003A0CB9" w:rsidRPr="0098730D">
              <w:rPr>
                <w:rFonts w:ascii="Arial" w:hAnsi="Arial" w:cs="Arial"/>
              </w:rPr>
              <w:t>,000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already paid £45,000, so the remaining £171,000 was split into payments of £19,000 for the last nine months of the year.</w:t>
      </w:r>
    </w:p>
    <w:p w14:paraId="74ECAD28" w14:textId="46CCE9EA" w:rsidR="006661FE" w:rsidRPr="004248A1" w:rsidRDefault="006661FE" w:rsidP="416E5148">
      <w:pPr>
        <w:pStyle w:val="BodyText"/>
        <w:rPr>
          <w:rFonts w:ascii="Arial" w:hAnsi="Arial" w:cs="Arial"/>
          <w:sz w:val="22"/>
          <w:szCs w:val="22"/>
        </w:rPr>
      </w:pPr>
      <w:r w:rsidRPr="416E5148">
        <w:rPr>
          <w:rFonts w:ascii="Arial" w:hAnsi="Arial" w:cs="Arial"/>
          <w:sz w:val="22"/>
          <w:szCs w:val="22"/>
        </w:rPr>
        <w:t xml:space="preserve">The right hand column shows the net monthly </w:t>
      </w:r>
      <w:r w:rsidR="5FA9FE49" w:rsidRPr="416E5148">
        <w:rPr>
          <w:rFonts w:ascii="Arial" w:hAnsi="Arial" w:cs="Arial"/>
          <w:sz w:val="22"/>
          <w:szCs w:val="22"/>
        </w:rPr>
        <w:t xml:space="preserve">HH and NHH </w:t>
      </w:r>
      <w:r w:rsidRPr="416E5148">
        <w:rPr>
          <w:rFonts w:ascii="Arial" w:hAnsi="Arial" w:cs="Arial"/>
          <w:sz w:val="22"/>
          <w:szCs w:val="22"/>
        </w:rPr>
        <w:t>charges for the BM Unit.</w:t>
      </w:r>
    </w:p>
    <w:p w14:paraId="387C2E52" w14:textId="77777777" w:rsidR="00B210CC" w:rsidRDefault="28F63719" w:rsidP="0098730D">
      <w:pPr>
        <w:spacing w:after="240"/>
        <w:rPr>
          <w:rStyle w:val="Heading2Char"/>
          <w:rFonts w:ascii="Arial" w:eastAsia="Arial" w:hAnsi="Arial"/>
        </w:rPr>
      </w:pPr>
      <w:r w:rsidRPr="0098730D">
        <w:rPr>
          <w:rStyle w:val="Heading2Char"/>
          <w:rFonts w:ascii="Arial" w:eastAsia="Arial" w:hAnsi="Arial"/>
        </w:rPr>
        <w:t xml:space="preserve">Monthly Charge </w:t>
      </w:r>
      <w:r w:rsidR="00B210CC">
        <w:rPr>
          <w:rStyle w:val="Heading2Char"/>
          <w:rFonts w:ascii="Arial" w:eastAsia="Arial" w:hAnsi="Arial"/>
        </w:rPr>
        <w:t>–</w:t>
      </w:r>
      <w:r w:rsidRPr="0098730D">
        <w:rPr>
          <w:rStyle w:val="Heading2Char"/>
          <w:rFonts w:ascii="Arial" w:eastAsia="Arial" w:hAnsi="Arial"/>
        </w:rPr>
        <w:t xml:space="preserve"> TDR</w:t>
      </w:r>
      <w:r w:rsidR="00B210CC">
        <w:rPr>
          <w:rStyle w:val="Heading2Char"/>
          <w:rFonts w:ascii="Arial" w:eastAsia="Arial" w:hAnsi="Arial"/>
        </w:rPr>
        <w:t xml:space="preserve"> </w:t>
      </w:r>
    </w:p>
    <w:p w14:paraId="48C2FECA" w14:textId="77777777" w:rsidR="00B210CC" w:rsidRDefault="0022187C" w:rsidP="0098730D">
      <w:pPr>
        <w:spacing w:after="240"/>
        <w:rPr>
          <w:rFonts w:ascii="Arial" w:hAnsi="Arial" w:cs="Arial"/>
        </w:rPr>
      </w:pPr>
      <w:r w:rsidRPr="416E5148">
        <w:rPr>
          <w:rFonts w:ascii="Arial" w:hAnsi="Arial" w:cs="Arial"/>
        </w:rPr>
        <w:t xml:space="preserve">The User shall not be required to submit forecasts of FDSC or Unmetered Supply Volume. </w:t>
      </w:r>
      <w:r w:rsidR="00E71EB2" w:rsidRPr="416E5148">
        <w:rPr>
          <w:rFonts w:ascii="Arial" w:hAnsi="Arial" w:cs="Arial"/>
          <w:b/>
          <w:bCs/>
        </w:rPr>
        <w:t>The Company</w:t>
      </w:r>
      <w:r w:rsidRPr="416E5148">
        <w:rPr>
          <w:rFonts w:ascii="Arial" w:hAnsi="Arial" w:cs="Arial"/>
        </w:rPr>
        <w:t xml:space="preserve"> shall use the latest daily actual FDSC and Unmetered Supply Volume prior to the forecast as the basis of the forecast.</w:t>
      </w:r>
      <w:r w:rsidR="00B210CC">
        <w:rPr>
          <w:rFonts w:ascii="Arial" w:hAnsi="Arial" w:cs="Arial"/>
        </w:rPr>
        <w:t xml:space="preserve"> </w:t>
      </w:r>
    </w:p>
    <w:p w14:paraId="1F88C3C5" w14:textId="0902BAC0"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 xml:space="preserve">As an example, at the start of the year the supplier has sites in just three of the charging bands, as shown below. The April invoice is calculated as the annual liability divided by 12.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36"/>
        <w:gridCol w:w="2098"/>
        <w:gridCol w:w="1792"/>
        <w:gridCol w:w="2878"/>
      </w:tblGrid>
      <w:tr w:rsidR="0013626D" w:rsidRPr="00C035E1" w14:paraId="59F30BE1"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1AA88098" w14:textId="7813C225" w:rsidR="0013626D" w:rsidRPr="00C035E1" w:rsidRDefault="0013626D" w:rsidP="00DA7CB4">
            <w:pPr>
              <w:tabs>
                <w:tab w:val="left" w:pos="3119"/>
              </w:tabs>
              <w:jc w:val="center"/>
              <w:rPr>
                <w:rFonts w:ascii="Arial" w:hAnsi="Arial" w:cs="Arial"/>
                <w:b/>
                <w:lang w:val="en-US"/>
              </w:rPr>
            </w:pPr>
            <w:r>
              <w:rPr>
                <w:rFonts w:ascii="Arial" w:eastAsia="Arial" w:hAnsi="Arial" w:cs="Arial"/>
                <w:sz w:val="22"/>
                <w:szCs w:val="22"/>
              </w:rPr>
              <w:t xml:space="preserve"> </w:t>
            </w: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D5A106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TDR</w:t>
            </w:r>
            <w:r w:rsidRPr="00C035E1">
              <w:rPr>
                <w:rFonts w:ascii="Arial" w:hAnsi="Arial" w:cs="Arial"/>
                <w:b/>
                <w:lang w:val="en-US"/>
              </w:rPr>
              <w:t xml:space="preserve"> Quantity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34EAD6" w14:textId="77777777" w:rsidR="0013626D" w:rsidRPr="00C035E1" w:rsidRDefault="0013626D" w:rsidP="00DA7CB4">
            <w:pPr>
              <w:tabs>
                <w:tab w:val="left" w:pos="3119"/>
              </w:tabs>
              <w:jc w:val="center"/>
              <w:rPr>
                <w:rFonts w:ascii="Arial" w:hAnsi="Arial" w:cs="Arial"/>
                <w:b/>
                <w:lang w:val="en-US"/>
              </w:rPr>
            </w:pPr>
            <w:r w:rsidRPr="00C035E1">
              <w:rPr>
                <w:rFonts w:ascii="Arial" w:hAnsi="Arial" w:cs="Arial"/>
                <w:b/>
                <w:lang w:val="en-US"/>
              </w:rPr>
              <w:t>Tariff</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021C0E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April</w:t>
            </w:r>
            <w:r w:rsidRPr="00C035E1">
              <w:rPr>
                <w:rFonts w:ascii="Arial" w:hAnsi="Arial" w:cs="Arial"/>
                <w:b/>
                <w:lang w:val="en-US"/>
              </w:rPr>
              <w:t xml:space="preserve"> </w:t>
            </w:r>
            <w:r>
              <w:rPr>
                <w:rFonts w:ascii="Arial" w:hAnsi="Arial" w:cs="Arial"/>
                <w:b/>
                <w:lang w:val="en-US"/>
              </w:rPr>
              <w:t>Invoice</w:t>
            </w:r>
          </w:p>
        </w:tc>
      </w:tr>
      <w:tr w:rsidR="0013626D" w:rsidRPr="00C035E1" w14:paraId="7CD79545"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C1B912D"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89D4E68"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w:t>
            </w:r>
            <w:r>
              <w:rPr>
                <w:rFonts w:ascii="Arial" w:hAnsi="Arial" w:cs="Arial"/>
                <w:bCs/>
                <w:lang w:val="en-US"/>
              </w:rPr>
              <w:t>40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5D5A434"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6009301C"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2</w:t>
            </w:r>
            <w:r>
              <w:rPr>
                <w:rFonts w:ascii="Arial" w:hAnsi="Arial" w:cs="Arial"/>
                <w:bCs/>
                <w:lang w:val="en-US"/>
              </w:rPr>
              <w:t>40</w:t>
            </w:r>
            <w:r w:rsidRPr="00C035E1">
              <w:rPr>
                <w:rFonts w:ascii="Arial" w:hAnsi="Arial" w:cs="Arial"/>
                <w:bCs/>
                <w:lang w:val="en-US"/>
              </w:rPr>
              <w:t xml:space="preserve"> x 1 x 3</w:t>
            </w:r>
            <w:r>
              <w:rPr>
                <w:rFonts w:ascii="Arial" w:hAnsi="Arial" w:cs="Arial"/>
                <w:bCs/>
                <w:lang w:val="en-US"/>
              </w:rPr>
              <w:t>65 / 12</w:t>
            </w:r>
          </w:p>
          <w:p w14:paraId="5B879E7A"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£7</w:t>
            </w:r>
            <w:r>
              <w:rPr>
                <w:rFonts w:ascii="Arial" w:hAnsi="Arial" w:cs="Arial"/>
                <w:bCs/>
                <w:lang w:val="en-US"/>
              </w:rPr>
              <w:t>,3</w:t>
            </w:r>
            <w:r w:rsidRPr="00C035E1">
              <w:rPr>
                <w:rFonts w:ascii="Arial" w:hAnsi="Arial" w:cs="Arial"/>
                <w:bCs/>
                <w:lang w:val="en-US"/>
              </w:rPr>
              <w:t>0</w:t>
            </w:r>
            <w:r>
              <w:rPr>
                <w:rFonts w:ascii="Arial" w:hAnsi="Arial" w:cs="Arial"/>
                <w:bCs/>
                <w:lang w:val="en-US"/>
              </w:rPr>
              <w:t>0</w:t>
            </w:r>
          </w:p>
        </w:tc>
      </w:tr>
      <w:tr w:rsidR="0013626D" w:rsidRPr="00C035E1" w14:paraId="11EA26DB"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8667EE"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04E1D0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w:t>
            </w:r>
            <w:r>
              <w:rPr>
                <w:rFonts w:ascii="Arial" w:hAnsi="Arial" w:cs="Arial"/>
                <w:bCs/>
                <w:lang w:val="en-US"/>
              </w:rPr>
              <w:t>80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FBB9FD5"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2BEF7A8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1</w:t>
            </w:r>
            <w:r>
              <w:rPr>
                <w:rFonts w:ascii="Arial" w:hAnsi="Arial" w:cs="Arial"/>
                <w:bCs/>
                <w:lang w:val="en-US"/>
              </w:rPr>
              <w:t>80</w:t>
            </w:r>
            <w:r w:rsidRPr="00C035E1">
              <w:rPr>
                <w:rFonts w:ascii="Arial" w:hAnsi="Arial" w:cs="Arial"/>
                <w:bCs/>
                <w:lang w:val="en-US"/>
              </w:rPr>
              <w:t xml:space="preserve"> x 2 x </w:t>
            </w:r>
            <w:r>
              <w:rPr>
                <w:rFonts w:ascii="Arial" w:hAnsi="Arial" w:cs="Arial"/>
                <w:bCs/>
                <w:lang w:val="en-US"/>
              </w:rPr>
              <w:t>365 / 12</w:t>
            </w:r>
          </w:p>
          <w:p w14:paraId="1D3B95AF"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10,950</w:t>
            </w:r>
          </w:p>
        </w:tc>
      </w:tr>
      <w:tr w:rsidR="0013626D" w:rsidRPr="00C035E1" w14:paraId="63B42A74"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EE14F96"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04B717E5"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4800</w:t>
            </w:r>
            <w:r w:rsidRPr="00C035E1">
              <w:rPr>
                <w:rFonts w:ascii="Arial" w:hAnsi="Arial" w:cs="Arial"/>
                <w:bCs/>
                <w:lang w:val="en-US"/>
              </w:rPr>
              <w:t>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7F1C5CF7"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E27797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xml:space="preserve">= </w:t>
            </w:r>
            <w:r>
              <w:rPr>
                <w:rFonts w:ascii="Arial" w:hAnsi="Arial" w:cs="Arial"/>
                <w:bCs/>
                <w:lang w:val="en-US"/>
              </w:rPr>
              <w:t>4800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65 / 12</w:t>
            </w:r>
          </w:p>
          <w:p w14:paraId="4B6B0539"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1,752</w:t>
            </w:r>
          </w:p>
        </w:tc>
      </w:tr>
      <w:tr w:rsidR="0013626D" w:rsidRPr="00C035E1" w14:paraId="188DA977"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tcPr>
          <w:p w14:paraId="11CDA0AD" w14:textId="77777777" w:rsidR="0013626D" w:rsidRPr="00C035E1" w:rsidRDefault="0013626D" w:rsidP="00DA7CB4">
            <w:pPr>
              <w:tabs>
                <w:tab w:val="left" w:pos="3119"/>
              </w:tabs>
              <w:jc w:val="center"/>
              <w:rPr>
                <w:rFonts w:ascii="Arial" w:hAnsi="Arial" w:cs="Arial"/>
                <w:bCs/>
                <w:lang w:val="en-US"/>
              </w:rPr>
            </w:pP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1899BBFB" w14:textId="77777777" w:rsidR="0013626D" w:rsidRPr="00C035E1" w:rsidDel="000C6451" w:rsidRDefault="0013626D" w:rsidP="00DA7CB4">
            <w:pPr>
              <w:tabs>
                <w:tab w:val="left" w:pos="3119"/>
              </w:tabs>
              <w:jc w:val="center"/>
              <w:rPr>
                <w:rFonts w:ascii="Arial" w:hAnsi="Arial" w:cs="Arial"/>
                <w:bCs/>
                <w:lang w:val="en-US"/>
              </w:rPr>
            </w:pP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5CCD4953"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Total</w:t>
            </w:r>
          </w:p>
        </w:tc>
        <w:tc>
          <w:tcPr>
            <w:tcW w:w="2878" w:type="dxa"/>
            <w:tcBorders>
              <w:top w:val="single" w:sz="4" w:space="0" w:color="auto"/>
              <w:left w:val="single" w:sz="4" w:space="0" w:color="auto"/>
              <w:bottom w:val="single" w:sz="4" w:space="0" w:color="auto"/>
              <w:right w:val="single" w:sz="4" w:space="0" w:color="auto"/>
            </w:tcBorders>
            <w:shd w:val="clear" w:color="auto" w:fill="auto"/>
          </w:tcPr>
          <w:p w14:paraId="4A82D762"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£20,002</w:t>
            </w:r>
          </w:p>
        </w:tc>
      </w:tr>
    </w:tbl>
    <w:p w14:paraId="52BC2EF8" w14:textId="4F8D8A74" w:rsidR="74D58E7D" w:rsidRDefault="74D58E7D">
      <w:pPr>
        <w:spacing w:after="240"/>
        <w:rPr>
          <w:rFonts w:ascii="Arial" w:eastAsia="Arial" w:hAnsi="Arial" w:cs="Arial"/>
          <w:sz w:val="22"/>
          <w:szCs w:val="22"/>
        </w:rPr>
      </w:pPr>
      <w:r w:rsidRPr="416E5148">
        <w:rPr>
          <w:rFonts w:ascii="Arial" w:eastAsia="Arial" w:hAnsi="Arial" w:cs="Arial"/>
          <w:sz w:val="22"/>
          <w:szCs w:val="22"/>
        </w:rPr>
        <w:t xml:space="preserve"> </w:t>
      </w:r>
    </w:p>
    <w:p w14:paraId="67B37A7B" w14:textId="1670CE03"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Each month the Company recalculates the forecast liability for the full year, based on any revision to the FDSC and Unmetered Supply Volume for the previous months, and the latest forecast for the remainder of the year.  The amount the supplier has already paid is deducted from this annual liability, and the balance is divided by the number of months left to bill.</w:t>
      </w:r>
    </w:p>
    <w:p w14:paraId="7204380D" w14:textId="449B906A" w:rsidR="006661FE" w:rsidRDefault="006661FE" w:rsidP="006661FE">
      <w:pPr>
        <w:pStyle w:val="Heading2"/>
      </w:pPr>
      <w:bookmarkStart w:id="423" w:name="_Toc946729"/>
      <w:bookmarkStart w:id="424" w:name="_Toc32201107"/>
      <w:bookmarkStart w:id="425" w:name="_Toc49661157"/>
      <w:bookmarkStart w:id="426" w:name="_Toc274049736"/>
      <w:r>
        <w:t>Initial Reconciliation (Part 1</w:t>
      </w:r>
      <w:r w:rsidR="003A0CB9">
        <w:t>a</w:t>
      </w:r>
      <w:r w:rsidR="71DDFA40">
        <w:t xml:space="preserve"> – HH Demand</w:t>
      </w:r>
      <w:r>
        <w:t>)</w:t>
      </w:r>
      <w:bookmarkEnd w:id="423"/>
      <w:bookmarkEnd w:id="424"/>
      <w:bookmarkEnd w:id="425"/>
      <w:bookmarkEnd w:id="426"/>
    </w:p>
    <w:p w14:paraId="0E4FA498" w14:textId="47D3E5C0" w:rsidR="006661FE" w:rsidRPr="008E4447" w:rsidRDefault="006661FE" w:rsidP="00B210CC">
      <w:pPr>
        <w:pStyle w:val="BodyText"/>
        <w:spacing w:before="240"/>
        <w:rPr>
          <w:rFonts w:ascii="Arial" w:hAnsi="Arial" w:cs="Arial"/>
          <w:sz w:val="22"/>
          <w:szCs w:val="22"/>
        </w:rPr>
      </w:pPr>
      <w:r w:rsidRPr="416E5148">
        <w:rPr>
          <w:rFonts w:ascii="Arial" w:hAnsi="Arial" w:cs="Arial"/>
          <w:sz w:val="22"/>
          <w:szCs w:val="22"/>
        </w:rPr>
        <w:t xml:space="preserve">The Supplier’s outturn HH triad </w:t>
      </w:r>
      <w:r w:rsidR="003A0CB9" w:rsidRPr="416E5148">
        <w:rPr>
          <w:rFonts w:ascii="Arial" w:hAnsi="Arial" w:cs="Arial"/>
          <w:sz w:val="22"/>
          <w:szCs w:val="22"/>
        </w:rPr>
        <w:t xml:space="preserve">gross </w:t>
      </w:r>
      <w:r w:rsidRPr="416E5148">
        <w:rPr>
          <w:rFonts w:ascii="Arial" w:hAnsi="Arial" w:cs="Arial"/>
          <w:sz w:val="22"/>
          <w:szCs w:val="22"/>
        </w:rPr>
        <w:t xml:space="preserve">demand, based on </w:t>
      </w:r>
      <w:r w:rsidR="6A6D67A7" w:rsidRPr="004020F1">
        <w:rPr>
          <w:rFonts w:ascii="Arial" w:hAnsi="Arial" w:cs="Arial"/>
          <w:sz w:val="22"/>
          <w:szCs w:val="22"/>
        </w:rPr>
        <w:t>latest</w:t>
      </w:r>
      <w:r w:rsidRPr="004020F1">
        <w:rPr>
          <w:rFonts w:ascii="Arial" w:hAnsi="Arial" w:cs="Arial"/>
          <w:sz w:val="22"/>
          <w:szCs w:val="22"/>
        </w:rPr>
        <w:t xml:space="preserve"> </w:t>
      </w:r>
      <w:r w:rsidRPr="416E5148">
        <w:rPr>
          <w:rFonts w:ascii="Arial" w:hAnsi="Arial" w:cs="Arial"/>
          <w:sz w:val="22"/>
          <w:szCs w:val="22"/>
        </w:rPr>
        <w:t>settlement data (and therefore subject to change in subsequent settlement runs), was 9,000kW.  The HH triad</w:t>
      </w:r>
      <w:r w:rsidR="003A0CB9" w:rsidRPr="416E5148">
        <w:rPr>
          <w:rFonts w:ascii="Arial" w:hAnsi="Arial" w:cs="Arial"/>
          <w:sz w:val="22"/>
          <w:szCs w:val="22"/>
        </w:rPr>
        <w:t xml:space="preserve"> gross</w:t>
      </w:r>
      <w:r w:rsidRPr="416E5148">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0DEBDE3F" w:rsidR="003A0CB9" w:rsidRDefault="003A0CB9" w:rsidP="003A0CB9">
      <w:pPr>
        <w:pStyle w:val="Heading2"/>
      </w:pPr>
      <w:r>
        <w:t>Initial Reconciliation (Part 1b</w:t>
      </w:r>
      <w:r w:rsidR="7F5CC45E">
        <w:t xml:space="preserve"> – Embedded Export</w:t>
      </w:r>
      <w:r>
        <w:t>)</w:t>
      </w:r>
    </w:p>
    <w:p w14:paraId="5536A400" w14:textId="77777777" w:rsidR="003A0CB9" w:rsidRDefault="003A0CB9" w:rsidP="003A0CB9">
      <w:pPr>
        <w:pStyle w:val="Heading2"/>
        <w:rPr>
          <w:rFonts w:ascii="Arial" w:hAnsi="Arial" w:cs="Arial"/>
          <w:szCs w:val="22"/>
        </w:rPr>
      </w:pPr>
    </w:p>
    <w:p w14:paraId="2C3E79D4" w14:textId="556078A4" w:rsidR="003A0CB9" w:rsidRDefault="003A0CB9" w:rsidP="003A0CB9">
      <w:pPr>
        <w:pStyle w:val="BodyText"/>
        <w:rPr>
          <w:rFonts w:ascii="Arial" w:hAnsi="Arial" w:cs="Arial"/>
          <w:sz w:val="22"/>
          <w:szCs w:val="22"/>
        </w:rPr>
      </w:pPr>
      <w:r w:rsidRPr="416E5148">
        <w:rPr>
          <w:rFonts w:ascii="Arial" w:hAnsi="Arial" w:cs="Arial"/>
          <w:sz w:val="22"/>
          <w:szCs w:val="22"/>
        </w:rPr>
        <w:t xml:space="preserve">The Supplier’s outturn HH triad embedded export, based on </w:t>
      </w:r>
      <w:r w:rsidR="2CB93673" w:rsidRPr="416E5148">
        <w:rPr>
          <w:rFonts w:ascii="Arial" w:hAnsi="Arial" w:cs="Arial"/>
          <w:sz w:val="22"/>
          <w:szCs w:val="22"/>
        </w:rPr>
        <w:t>latest</w:t>
      </w:r>
      <w:r w:rsidRPr="416E5148">
        <w:rPr>
          <w:rFonts w:ascii="Arial" w:hAnsi="Arial" w:cs="Arial"/>
          <w:sz w:val="22"/>
          <w:szCs w:val="22"/>
        </w:rPr>
        <w:t xml:space="preserve"> settlement data (and therefore subject to change in subsequent settlement runs), was </w:t>
      </w:r>
      <w:r w:rsidR="37854929" w:rsidRPr="416E5148">
        <w:rPr>
          <w:rFonts w:ascii="Arial" w:hAnsi="Arial" w:cs="Arial"/>
          <w:sz w:val="22"/>
          <w:szCs w:val="22"/>
        </w:rPr>
        <w:t>5</w:t>
      </w:r>
      <w:r w:rsidRPr="416E5148">
        <w:rPr>
          <w:rFonts w:ascii="Arial" w:hAnsi="Arial" w:cs="Arial"/>
          <w:sz w:val="22"/>
          <w:szCs w:val="22"/>
        </w:rPr>
        <w:t>00kW.  The HH triad embedded export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1A09CECA" w:rsidR="006661FE" w:rsidRPr="008E4447" w:rsidRDefault="006661FE" w:rsidP="416E5148">
      <w:pPr>
        <w:pStyle w:val="Heading2"/>
        <w:rPr>
          <w:rFonts w:ascii="Arial" w:hAnsi="Arial" w:cs="Arial"/>
        </w:rPr>
      </w:pPr>
      <w:bookmarkStart w:id="427" w:name="_Toc946730"/>
      <w:bookmarkStart w:id="428" w:name="_Toc32201108"/>
      <w:bookmarkStart w:id="429" w:name="_Toc49661158"/>
      <w:bookmarkStart w:id="430" w:name="_Toc274049737"/>
      <w:r w:rsidRPr="416E5148">
        <w:rPr>
          <w:rFonts w:ascii="Arial" w:hAnsi="Arial" w:cs="Arial"/>
        </w:rPr>
        <w:t>Initial Reconciliation (Part 2</w:t>
      </w:r>
      <w:r w:rsidR="7A1F7B17" w:rsidRPr="416E5148">
        <w:rPr>
          <w:rFonts w:ascii="Arial" w:hAnsi="Arial" w:cs="Arial"/>
        </w:rPr>
        <w:t xml:space="preserve"> – NHH Demand</w:t>
      </w:r>
      <w:r w:rsidRPr="416E5148">
        <w:rPr>
          <w:rFonts w:ascii="Arial" w:hAnsi="Arial" w:cs="Arial"/>
        </w:rPr>
        <w:t>)</w:t>
      </w:r>
      <w:bookmarkEnd w:id="427"/>
      <w:bookmarkEnd w:id="428"/>
      <w:bookmarkEnd w:id="429"/>
      <w:bookmarkEnd w:id="430"/>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46CC7EF4"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 xml:space="preserve">The Supplier's outturn NHH energy consumption, based on </w:t>
      </w:r>
      <w:r w:rsidR="7AD6B790" w:rsidRPr="416E5148">
        <w:rPr>
          <w:rFonts w:ascii="Arial" w:hAnsi="Arial" w:cs="Arial"/>
          <w:sz w:val="22"/>
          <w:szCs w:val="22"/>
        </w:rPr>
        <w:t>latest</w:t>
      </w:r>
      <w:r w:rsidRPr="416E5148">
        <w:rPr>
          <w:rFonts w:ascii="Arial" w:hAnsi="Arial" w:cs="Arial"/>
          <w:sz w:val="22"/>
          <w:szCs w:val="22"/>
        </w:rPr>
        <w:t xml:space="preserve">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61782678" w:rsidR="00FD5479" w:rsidRPr="008E4447" w:rsidRDefault="00FD5479" w:rsidP="416E5148">
      <w:pPr>
        <w:pStyle w:val="Header"/>
        <w:tabs>
          <w:tab w:val="left" w:pos="2835"/>
        </w:tabs>
        <w:ind w:left="3402" w:hanging="3402"/>
        <w:jc w:val="center"/>
        <w:rPr>
          <w:rFonts w:ascii="Arial" w:hAnsi="Arial" w:cs="Arial"/>
          <w:b/>
          <w:bCs/>
        </w:rPr>
      </w:pPr>
      <w:r w:rsidRPr="416E5148">
        <w:rPr>
          <w:rFonts w:ascii="Arial" w:hAnsi="Arial" w:cs="Arial"/>
          <w:b/>
          <w:bCs/>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3AB3E63F"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The monthly reconciliation amount is equal to the outturn energy consumption charge for that month less the NHH monthly invoiced amount.  Interest payments are calculated based on the</w:t>
      </w:r>
      <w:r w:rsidR="24C7B2D0" w:rsidRPr="416E5148">
        <w:rPr>
          <w:rFonts w:ascii="Arial" w:hAnsi="Arial" w:cs="Arial"/>
          <w:sz w:val="22"/>
          <w:szCs w:val="22"/>
        </w:rPr>
        <w:t>se</w:t>
      </w:r>
      <w:r w:rsidRPr="416E5148">
        <w:rPr>
          <w:rFonts w:ascii="Arial" w:hAnsi="Arial" w:cs="Arial"/>
          <w:sz w:val="22"/>
          <w:szCs w:val="22"/>
        </w:rPr>
        <w:t xml:space="preserve"> monthly reconciliation amounts using Barclays Base Rate.</w:t>
      </w:r>
    </w:p>
    <w:p w14:paraId="05209E77" w14:textId="1078A41D" w:rsidR="0022187C" w:rsidRDefault="0022187C" w:rsidP="416E5148">
      <w:pPr>
        <w:keepNext/>
        <w:outlineLvl w:val="1"/>
        <w:rPr>
          <w:rFonts w:ascii="Arial" w:hAnsi="Arial" w:cs="Arial"/>
          <w:b/>
          <w:bCs/>
          <w:color w:val="008080"/>
        </w:rPr>
      </w:pPr>
      <w:bookmarkStart w:id="431" w:name="_Toc946732"/>
      <w:bookmarkStart w:id="432" w:name="_Toc32201109"/>
      <w:bookmarkStart w:id="433" w:name="_Toc49661159"/>
      <w:r w:rsidRPr="416E5148">
        <w:rPr>
          <w:rFonts w:ascii="Arial" w:hAnsi="Arial" w:cs="Arial"/>
          <w:b/>
          <w:bCs/>
          <w:color w:val="008080"/>
        </w:rPr>
        <w:t>Initial Reconciliation (Part 3</w:t>
      </w:r>
      <w:r w:rsidR="2896018D" w:rsidRPr="416E5148">
        <w:rPr>
          <w:rFonts w:ascii="Arial" w:hAnsi="Arial" w:cs="Arial"/>
          <w:b/>
          <w:bCs/>
          <w:color w:val="008080"/>
        </w:rPr>
        <w:t xml:space="preserve"> - TDR</w:t>
      </w:r>
      <w:r w:rsidRPr="416E5148">
        <w:rPr>
          <w:rFonts w:ascii="Arial" w:hAnsi="Arial" w:cs="Arial"/>
          <w:b/>
          <w:bCs/>
          <w:color w:val="008080"/>
        </w:rPr>
        <w:t>)</w:t>
      </w:r>
    </w:p>
    <w:p w14:paraId="7C7F70D0" w14:textId="2E46A42F" w:rsidR="554FE16D" w:rsidRDefault="554FE16D" w:rsidP="00BE7E10">
      <w:pPr>
        <w:tabs>
          <w:tab w:val="left" w:pos="3119"/>
        </w:tabs>
        <w:spacing w:before="240" w:after="240"/>
        <w:rPr>
          <w:rFonts w:ascii="Arial" w:eastAsia="Arial" w:hAnsi="Arial" w:cs="Arial"/>
          <w:sz w:val="22"/>
          <w:szCs w:val="22"/>
        </w:rPr>
      </w:pPr>
      <w:r w:rsidRPr="416E5148">
        <w:rPr>
          <w:rFonts w:ascii="Arial" w:eastAsia="Arial" w:hAnsi="Arial" w:cs="Arial"/>
          <w:sz w:val="22"/>
          <w:szCs w:val="22"/>
        </w:rPr>
        <w:t>The Supplier’s outturn Transmission Demand Residual charge is calculated for each month using FDSC and Unmetered Supply Volume based on latest settlement data as follows,</w:t>
      </w:r>
    </w:p>
    <w:tbl>
      <w:tblPr>
        <w:tblW w:w="0" w:type="auto"/>
        <w:tblLayout w:type="fixed"/>
        <w:tblLook w:val="04A0" w:firstRow="1" w:lastRow="0" w:firstColumn="1" w:lastColumn="0" w:noHBand="0" w:noVBand="1"/>
      </w:tblPr>
      <w:tblGrid>
        <w:gridCol w:w="1050"/>
        <w:gridCol w:w="1417"/>
        <w:gridCol w:w="1276"/>
        <w:gridCol w:w="1984"/>
        <w:gridCol w:w="1560"/>
        <w:gridCol w:w="1560"/>
      </w:tblGrid>
      <w:tr w:rsidR="416E5148" w14:paraId="19AF58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73CDC60" w14:textId="2FFBD342"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Charging Band</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66419DC" w14:textId="7A5D96EA"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Latest TDR Quantity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C1AC04B" w14:textId="0F593F46"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Tariff</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2F11D60" w14:textId="288C6421"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April Charge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EE15AC1" w14:textId="3559805E"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Original April Invoice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B728B2E" w14:textId="1EC5D3DF"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Initial Demand Reconciliation for April</w:t>
            </w:r>
          </w:p>
        </w:tc>
      </w:tr>
      <w:tr w:rsidR="416E5148" w14:paraId="5B3EF8D9"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B508156" w14:textId="3F3441E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1</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CCC58DB" w14:textId="0F72381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230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0FA8CD0" w14:textId="30129DF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F4271FE" w14:textId="6C88BFB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230 x 1 x 30 days</w:t>
            </w:r>
          </w:p>
          <w:p w14:paraId="5175673C" w14:textId="4AAC973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£6,900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3E4F66B" w14:textId="58EA1E1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£7,300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4628D47" w14:textId="52FB02B0"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-£400</w:t>
            </w:r>
          </w:p>
        </w:tc>
      </w:tr>
      <w:tr w:rsidR="416E5148" w14:paraId="6055EF45"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9E81E11" w14:textId="084E561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2</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E66137" w14:textId="61F2E90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A79C043" w14:textId="4CF1E90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F13D579" w14:textId="4DDA57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200 x 2 x 30</w:t>
            </w:r>
          </w:p>
          <w:p w14:paraId="4AC8C0AF" w14:textId="5C24A08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£12,000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F325F3A" w14:textId="029E86C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£10,950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38DFA84" w14:textId="6FF882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£1,050</w:t>
            </w:r>
          </w:p>
        </w:tc>
      </w:tr>
      <w:tr w:rsidR="416E5148" w14:paraId="02D4CA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C455E52" w14:textId="0E008AC2"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UMS</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64B21FD" w14:textId="4922FC4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5000kWh/day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791873D" w14:textId="1A33232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£0.012/kWh</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09D4326" w14:textId="10A0A79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5000 x 0.012 x 30</w:t>
            </w:r>
          </w:p>
          <w:p w14:paraId="03BB3531" w14:textId="61F6E58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£1,800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772855" w14:textId="49D920D6"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£1,752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3EA2DDB" w14:textId="21E840FA"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£48</w:t>
            </w:r>
          </w:p>
        </w:tc>
      </w:tr>
      <w:tr w:rsidR="416E5148" w14:paraId="5E613E7A"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581AFC6C" w14:textId="5582C059"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E0773FA" w14:textId="1D57C6D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D1BF893" w14:textId="26D31EE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Total</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4F2166F" w14:textId="5158E55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£20,700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41FB1B3" w14:textId="3A1BF04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£20,002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07DA991" w14:textId="02D4895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£698</w:t>
            </w:r>
          </w:p>
        </w:tc>
      </w:tr>
    </w:tbl>
    <w:p w14:paraId="470EC9E4" w14:textId="4860157F"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 xml:space="preserve"> </w:t>
      </w:r>
    </w:p>
    <w:p w14:paraId="011EB690" w14:textId="333D3406"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If the Supplier’s TDR quantity was the same for every month of the year, the total TDR reconciliation charge would be:</w:t>
      </w:r>
    </w:p>
    <w:p w14:paraId="4A446D69" w14:textId="3716A1EC" w:rsidR="554FE16D" w:rsidRDefault="554FE16D" w:rsidP="0098730D">
      <w:pPr>
        <w:tabs>
          <w:tab w:val="left" w:pos="2835"/>
        </w:tabs>
        <w:spacing w:after="240"/>
        <w:rPr>
          <w:rFonts w:ascii="Arial" w:eastAsia="Arial" w:hAnsi="Arial" w:cs="Arial"/>
          <w:sz w:val="22"/>
          <w:szCs w:val="22"/>
        </w:rPr>
      </w:pPr>
      <w:r w:rsidRPr="416E5148">
        <w:rPr>
          <w:rFonts w:ascii="Arial" w:eastAsia="Arial" w:hAnsi="Arial" w:cs="Arial"/>
          <w:sz w:val="22"/>
          <w:szCs w:val="22"/>
        </w:rPr>
        <w:t>TDR Reconciliation Charge</w:t>
      </w:r>
      <w:r>
        <w:tab/>
      </w:r>
      <w:r w:rsidRPr="416E5148">
        <w:rPr>
          <w:rFonts w:ascii="Arial" w:eastAsia="Arial" w:hAnsi="Arial" w:cs="Arial"/>
          <w:sz w:val="22"/>
          <w:szCs w:val="22"/>
        </w:rPr>
        <w:t>= [ (230-240) * 1 + (200-180) * 2 + (5000-4800) * 0.012 ] *365</w:t>
      </w:r>
    </w:p>
    <w:p w14:paraId="208111AA" w14:textId="4B237178" w:rsidR="554FE16D" w:rsidRDefault="554FE16D">
      <w:pPr>
        <w:rPr>
          <w:rFonts w:ascii="Arial" w:eastAsia="Arial" w:hAnsi="Arial" w:cs="Arial"/>
          <w:sz w:val="22"/>
          <w:szCs w:val="22"/>
        </w:rPr>
      </w:pPr>
      <w:r w:rsidRPr="416E5148">
        <w:rPr>
          <w:rFonts w:ascii="Arial" w:eastAsia="Arial" w:hAnsi="Arial" w:cs="Arial"/>
          <w:sz w:val="22"/>
          <w:szCs w:val="22"/>
        </w:rPr>
        <w:t>= £11,826</w:t>
      </w:r>
    </w:p>
    <w:p w14:paraId="21F4E01D" w14:textId="2FC5E3A8" w:rsidR="554FE16D" w:rsidRDefault="554FE16D">
      <w:pPr>
        <w:rPr>
          <w:rFonts w:ascii="Arial" w:eastAsia="Arial" w:hAnsi="Arial" w:cs="Arial"/>
          <w:sz w:val="22"/>
          <w:szCs w:val="22"/>
        </w:rPr>
      </w:pPr>
      <w:r w:rsidRPr="416E5148">
        <w:rPr>
          <w:rFonts w:ascii="Arial" w:eastAsia="Arial" w:hAnsi="Arial" w:cs="Arial"/>
          <w:sz w:val="22"/>
          <w:szCs w:val="22"/>
        </w:rPr>
        <w:t xml:space="preserve"> </w:t>
      </w:r>
    </w:p>
    <w:p w14:paraId="0F7F86F7" w14:textId="0AE0BDA3" w:rsidR="554FE16D" w:rsidRDefault="554FE16D" w:rsidP="0098730D">
      <w:pPr>
        <w:spacing w:after="240"/>
        <w:rPr>
          <w:rFonts w:ascii="Arial" w:eastAsia="Arial" w:hAnsi="Arial" w:cs="Arial"/>
          <w:sz w:val="22"/>
          <w:szCs w:val="22"/>
        </w:rPr>
      </w:pPr>
      <w:r w:rsidRPr="416E5148">
        <w:rPr>
          <w:rFonts w:ascii="Arial" w:eastAsia="Arial" w:hAnsi="Arial" w:cs="Arial"/>
          <w:sz w:val="22"/>
          <w:szCs w:val="22"/>
        </w:rPr>
        <w:t xml:space="preserve">The monthly reconciliation amount is the monthly outturn Transmission Demand Residual Charge less the monthly invoiced amount.  Interest payments are calculated based on these monthly reconciliation amounts using Barclays Base Rate.  </w:t>
      </w:r>
    </w:p>
    <w:p w14:paraId="1942F6EC" w14:textId="1D1358B5" w:rsidR="0022187C" w:rsidRDefault="554FE16D" w:rsidP="00666691">
      <w:pPr>
        <w:spacing w:before="240" w:after="240"/>
        <w:rPr>
          <w:rFonts w:ascii="Arial" w:hAnsi="Arial" w:cs="Arial"/>
          <w:lang w:eastAsia="en-US"/>
        </w:rPr>
      </w:pPr>
      <w:r w:rsidRPr="416E5148">
        <w:rPr>
          <w:rFonts w:ascii="Arial" w:eastAsia="Arial" w:hAnsi="Arial" w:cs="Arial"/>
        </w:rPr>
        <w:t>On the above examples, the net initial TNUoS demand reconciliation charge (across HH, EE, NHH and TDR, but excluding interest) is therefore £18,000 + £500 - £12,000 + £11,826 = £18,326.</w:t>
      </w: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8"/>
        <w:gridCol w:w="2824"/>
        <w:gridCol w:w="3033"/>
      </w:tblGrid>
      <w:tr w:rsidR="0022187C" w14:paraId="4418234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3FE2130D" w:rsidR="0022187C" w:rsidRPr="00C035E1" w:rsidRDefault="00CB17B6" w:rsidP="00C035E1">
            <w:pPr>
              <w:tabs>
                <w:tab w:val="left" w:pos="3119"/>
              </w:tabs>
              <w:spacing w:after="240"/>
              <w:jc w:val="center"/>
              <w:rPr>
                <w:rFonts w:ascii="Arial" w:hAnsi="Arial" w:cs="Arial"/>
                <w:lang w:val="en-US"/>
              </w:rPr>
            </w:pPr>
            <w:r>
              <w:rPr>
                <w:rFonts w:ascii="Arial" w:hAnsi="Arial" w:cs="Arial"/>
                <w:lang w:val="en-US"/>
              </w:rPr>
              <w:t>-</w:t>
            </w:r>
            <w:r w:rsidR="0022187C"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2A8CBA18" w:rsidR="0022187C" w:rsidRPr="00C035E1" w:rsidRDefault="4C88F772" w:rsidP="00C035E1">
            <w:pPr>
              <w:tabs>
                <w:tab w:val="left" w:pos="3119"/>
              </w:tabs>
              <w:spacing w:after="240"/>
              <w:jc w:val="center"/>
              <w:rPr>
                <w:rFonts w:ascii="Arial" w:hAnsi="Arial" w:cs="Arial"/>
                <w:lang w:val="en-US"/>
              </w:rPr>
            </w:pPr>
            <w:r w:rsidRPr="416E5148">
              <w:rPr>
                <w:rFonts w:ascii="Arial" w:hAnsi="Arial" w:cs="Arial"/>
                <w:lang w:val="en-US"/>
              </w:rPr>
              <w:t>230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3CBF8B7" w:rsidR="0022187C" w:rsidRPr="00C035E1" w:rsidRDefault="515C420D" w:rsidP="00C035E1">
            <w:pPr>
              <w:tabs>
                <w:tab w:val="left" w:pos="3119"/>
              </w:tabs>
              <w:spacing w:after="240"/>
              <w:jc w:val="center"/>
              <w:rPr>
                <w:rFonts w:ascii="Arial" w:hAnsi="Arial" w:cs="Arial"/>
                <w:lang w:val="en-US"/>
              </w:rPr>
            </w:pPr>
            <w:r w:rsidRPr="416E5148">
              <w:rPr>
                <w:rFonts w:ascii="Arial" w:hAnsi="Arial" w:cs="Arial"/>
                <w:lang w:val="en-US"/>
              </w:rPr>
              <w:t>235</w:t>
            </w:r>
            <w:r w:rsidR="0022187C" w:rsidRPr="416E5148">
              <w:rPr>
                <w:rFonts w:ascii="Arial" w:hAnsi="Arial" w:cs="Arial"/>
                <w:lang w:val="en-US"/>
              </w:rPr>
              <w:t xml:space="preserve"> Sites</w:t>
            </w:r>
          </w:p>
        </w:tc>
      </w:tr>
      <w:tr w:rsidR="0022187C" w14:paraId="73283327"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311880D" w:rsidR="0022187C" w:rsidRPr="00C035E1" w:rsidRDefault="68E68490" w:rsidP="00C035E1">
            <w:pPr>
              <w:tabs>
                <w:tab w:val="left" w:pos="3119"/>
              </w:tabs>
              <w:spacing w:after="240"/>
              <w:jc w:val="center"/>
              <w:rPr>
                <w:rFonts w:ascii="Arial" w:hAnsi="Arial" w:cs="Arial"/>
                <w:lang w:val="en-US"/>
              </w:rPr>
            </w:pPr>
            <w:r w:rsidRPr="416E5148">
              <w:rPr>
                <w:rFonts w:ascii="Arial" w:hAnsi="Arial" w:cs="Arial"/>
                <w:lang w:val="en-US"/>
              </w:rPr>
              <w:t>200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029D596E" w:rsidR="0022187C" w:rsidRPr="00C035E1" w:rsidRDefault="2B6C8ECE" w:rsidP="00C035E1">
            <w:pPr>
              <w:tabs>
                <w:tab w:val="left" w:pos="3119"/>
              </w:tabs>
              <w:spacing w:after="240"/>
              <w:jc w:val="center"/>
              <w:rPr>
                <w:rFonts w:ascii="Arial" w:hAnsi="Arial" w:cs="Arial"/>
                <w:lang w:val="en-US"/>
              </w:rPr>
            </w:pPr>
            <w:r w:rsidRPr="416E5148">
              <w:rPr>
                <w:rFonts w:ascii="Arial" w:hAnsi="Arial" w:cs="Arial"/>
                <w:lang w:val="en-US"/>
              </w:rPr>
              <w:t>195</w:t>
            </w:r>
            <w:r w:rsidR="0022187C" w:rsidRPr="416E5148">
              <w:rPr>
                <w:rFonts w:ascii="Arial" w:hAnsi="Arial" w:cs="Arial"/>
                <w:lang w:val="en-US"/>
              </w:rPr>
              <w:t xml:space="preserve"> Sites</w:t>
            </w:r>
          </w:p>
        </w:tc>
      </w:tr>
      <w:tr w:rsidR="0022187C" w14:paraId="47F01EF6"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697C8A6E" w:rsidR="0022187C" w:rsidRPr="00C035E1" w:rsidRDefault="303CB943" w:rsidP="00C035E1">
            <w:pPr>
              <w:tabs>
                <w:tab w:val="left" w:pos="3119"/>
              </w:tabs>
              <w:spacing w:after="240"/>
              <w:jc w:val="center"/>
              <w:rPr>
                <w:rFonts w:ascii="Arial" w:hAnsi="Arial" w:cs="Arial"/>
                <w:lang w:val="en-US"/>
              </w:rPr>
            </w:pPr>
            <w:r w:rsidRPr="416E5148">
              <w:rPr>
                <w:rFonts w:ascii="Arial" w:hAnsi="Arial" w:cs="Arial"/>
                <w:lang w:val="en-US"/>
              </w:rPr>
              <w:t>5,000</w:t>
            </w:r>
            <w:r w:rsidR="0022187C" w:rsidRPr="416E5148">
              <w:rPr>
                <w:rFonts w:ascii="Arial" w:hAnsi="Arial" w:cs="Arial"/>
                <w:lang w:val="en-US"/>
              </w:rPr>
              <w:t>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69D78403" w:rsidR="0022187C" w:rsidRPr="00C035E1" w:rsidRDefault="7C9B2858" w:rsidP="00C035E1">
            <w:pPr>
              <w:tabs>
                <w:tab w:val="left" w:pos="3119"/>
              </w:tabs>
              <w:spacing w:after="240"/>
              <w:jc w:val="center"/>
              <w:rPr>
                <w:rFonts w:ascii="Arial" w:hAnsi="Arial" w:cs="Arial"/>
                <w:lang w:val="en-US"/>
              </w:rPr>
            </w:pPr>
            <w:r w:rsidRPr="416E5148">
              <w:rPr>
                <w:rFonts w:ascii="Arial" w:hAnsi="Arial" w:cs="Arial"/>
                <w:lang w:val="en-US"/>
              </w:rPr>
              <w:t>5,100</w:t>
            </w:r>
            <w:r w:rsidR="0022187C" w:rsidRPr="416E5148">
              <w:rPr>
                <w:rFonts w:ascii="Arial" w:hAnsi="Arial" w:cs="Arial"/>
                <w:lang w:val="en-US"/>
              </w:rPr>
              <w:t>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F7DE774" w:rsidR="0022187C" w:rsidRDefault="0022187C" w:rsidP="0022187C">
      <w:pPr>
        <w:rPr>
          <w:rFonts w:ascii="Arial" w:hAnsi="Arial" w:cs="Arial"/>
        </w:rPr>
      </w:pPr>
      <w:r w:rsidRPr="416E5148">
        <w:rPr>
          <w:rFonts w:ascii="Arial" w:hAnsi="Arial" w:cs="Arial"/>
        </w:rPr>
        <w:t>FDSC Charging Band 1</w:t>
      </w:r>
      <w:r>
        <w:tab/>
      </w:r>
      <w:r w:rsidRPr="416E5148">
        <w:rPr>
          <w:rFonts w:ascii="Arial" w:hAnsi="Arial" w:cs="Arial"/>
        </w:rPr>
        <w:t>= (</w:t>
      </w:r>
      <w:r w:rsidR="70790EE8" w:rsidRPr="416E5148">
        <w:rPr>
          <w:rFonts w:ascii="Arial" w:hAnsi="Arial" w:cs="Arial"/>
        </w:rPr>
        <w:t>235</w:t>
      </w:r>
      <w:r w:rsidRPr="416E5148">
        <w:rPr>
          <w:rFonts w:ascii="Arial" w:hAnsi="Arial" w:cs="Arial"/>
        </w:rPr>
        <w:t xml:space="preserve"> Sites – </w:t>
      </w:r>
      <w:r w:rsidR="16BEAC60" w:rsidRPr="416E5148">
        <w:rPr>
          <w:rFonts w:ascii="Arial" w:hAnsi="Arial" w:cs="Arial"/>
        </w:rPr>
        <w:t>230</w:t>
      </w:r>
      <w:r w:rsidRPr="416E5148">
        <w:rPr>
          <w:rFonts w:ascii="Arial" w:hAnsi="Arial" w:cs="Arial"/>
        </w:rPr>
        <w:t xml:space="preserve"> Sites) x £1/Site/Day x </w:t>
      </w:r>
      <w:r w:rsidR="608D9C73" w:rsidRPr="416E5148">
        <w:rPr>
          <w:rFonts w:ascii="Arial" w:hAnsi="Arial" w:cs="Arial"/>
        </w:rPr>
        <w:t>365</w:t>
      </w:r>
      <w:r w:rsidRPr="416E5148">
        <w:rPr>
          <w:rFonts w:ascii="Arial" w:hAnsi="Arial" w:cs="Arial"/>
        </w:rPr>
        <w:t xml:space="preserve"> days = £</w:t>
      </w:r>
      <w:r w:rsidR="606DF618" w:rsidRPr="416E5148">
        <w:rPr>
          <w:rFonts w:ascii="Arial" w:hAnsi="Arial" w:cs="Arial"/>
        </w:rPr>
        <w:t>1</w:t>
      </w:r>
      <w:r w:rsidRPr="416E5148">
        <w:rPr>
          <w:rFonts w:ascii="Arial" w:hAnsi="Arial" w:cs="Arial"/>
        </w:rPr>
        <w:t>50</w:t>
      </w:r>
    </w:p>
    <w:p w14:paraId="65C2AEA1" w14:textId="77777777" w:rsidR="0022187C" w:rsidRDefault="0022187C" w:rsidP="0022187C">
      <w:pPr>
        <w:rPr>
          <w:rFonts w:ascii="Arial" w:hAnsi="Arial" w:cs="Arial"/>
        </w:rPr>
      </w:pPr>
    </w:p>
    <w:p w14:paraId="78B24F7F" w14:textId="153C17DF" w:rsidR="0022187C" w:rsidRDefault="0022187C" w:rsidP="0022187C">
      <w:pPr>
        <w:rPr>
          <w:rFonts w:ascii="Arial" w:hAnsi="Arial" w:cs="Arial"/>
        </w:rPr>
      </w:pPr>
      <w:r w:rsidRPr="416E5148">
        <w:rPr>
          <w:rFonts w:ascii="Arial" w:hAnsi="Arial" w:cs="Arial"/>
        </w:rPr>
        <w:t xml:space="preserve">FDSC Charging Band 2 </w:t>
      </w:r>
      <w:r>
        <w:tab/>
      </w:r>
      <w:r w:rsidRPr="416E5148">
        <w:rPr>
          <w:rFonts w:ascii="Arial" w:hAnsi="Arial" w:cs="Arial"/>
        </w:rPr>
        <w:t>= (</w:t>
      </w:r>
      <w:r w:rsidR="5315E2AA" w:rsidRPr="416E5148">
        <w:rPr>
          <w:rFonts w:ascii="Arial" w:hAnsi="Arial" w:cs="Arial"/>
        </w:rPr>
        <w:t>195</w:t>
      </w:r>
      <w:r w:rsidRPr="416E5148">
        <w:rPr>
          <w:rFonts w:ascii="Arial" w:hAnsi="Arial" w:cs="Arial"/>
        </w:rPr>
        <w:t xml:space="preserve"> Sites – </w:t>
      </w:r>
      <w:r w:rsidR="214B1B66" w:rsidRPr="416E5148">
        <w:rPr>
          <w:rFonts w:ascii="Arial" w:hAnsi="Arial" w:cs="Arial"/>
        </w:rPr>
        <w:t>200</w:t>
      </w:r>
      <w:r w:rsidRPr="416E5148">
        <w:rPr>
          <w:rFonts w:ascii="Arial" w:hAnsi="Arial" w:cs="Arial"/>
        </w:rPr>
        <w:t xml:space="preserve"> Sites) x £2/Site/Day x </w:t>
      </w:r>
      <w:r w:rsidR="46B50ADC" w:rsidRPr="416E5148">
        <w:rPr>
          <w:rFonts w:ascii="Arial" w:hAnsi="Arial" w:cs="Arial"/>
        </w:rPr>
        <w:t>365</w:t>
      </w:r>
      <w:r w:rsidRPr="416E5148">
        <w:rPr>
          <w:rFonts w:ascii="Arial" w:hAnsi="Arial" w:cs="Arial"/>
        </w:rPr>
        <w:t xml:space="preserve"> Days = -£300</w:t>
      </w:r>
    </w:p>
    <w:p w14:paraId="6BA0A263" w14:textId="77777777" w:rsidR="0022187C" w:rsidRDefault="0022187C" w:rsidP="0022187C">
      <w:pPr>
        <w:rPr>
          <w:rFonts w:ascii="Arial" w:hAnsi="Arial" w:cs="Arial"/>
        </w:rPr>
      </w:pPr>
    </w:p>
    <w:p w14:paraId="0C82957F" w14:textId="25E780BA" w:rsidR="0022187C" w:rsidRDefault="0022187C" w:rsidP="0022187C">
      <w:pPr>
        <w:rPr>
          <w:rFonts w:ascii="Arial" w:hAnsi="Arial" w:cs="Arial"/>
        </w:rPr>
      </w:pPr>
      <w:r w:rsidRPr="416E5148">
        <w:rPr>
          <w:rFonts w:ascii="Arial" w:hAnsi="Arial" w:cs="Arial"/>
        </w:rPr>
        <w:t>UMS Charging Band= (</w:t>
      </w:r>
      <w:r w:rsidR="2ADBDB1D" w:rsidRPr="416E5148">
        <w:rPr>
          <w:rFonts w:ascii="Arial" w:hAnsi="Arial" w:cs="Arial"/>
        </w:rPr>
        <w:t>5,100</w:t>
      </w:r>
      <w:r w:rsidRPr="416E5148">
        <w:rPr>
          <w:rFonts w:ascii="Arial" w:hAnsi="Arial" w:cs="Arial"/>
        </w:rPr>
        <w:t xml:space="preserve">kWh/day – </w:t>
      </w:r>
      <w:r w:rsidR="1A4C5C60" w:rsidRPr="416E5148">
        <w:rPr>
          <w:rFonts w:ascii="Arial" w:hAnsi="Arial" w:cs="Arial"/>
        </w:rPr>
        <w:t>5,000</w:t>
      </w:r>
      <w:r w:rsidRPr="416E5148">
        <w:rPr>
          <w:rFonts w:ascii="Arial" w:hAnsi="Arial" w:cs="Arial"/>
        </w:rPr>
        <w:t xml:space="preserve">kWh/day) x </w:t>
      </w:r>
      <w:r w:rsidR="3F29B9D2" w:rsidRPr="416E5148">
        <w:rPr>
          <w:rFonts w:ascii="Arial" w:hAnsi="Arial" w:cs="Arial"/>
        </w:rPr>
        <w:t>0.012</w:t>
      </w:r>
      <w:r w:rsidRPr="416E5148">
        <w:rPr>
          <w:rFonts w:ascii="Arial" w:hAnsi="Arial" w:cs="Arial"/>
        </w:rPr>
        <w:t xml:space="preserve">/kWh x </w:t>
      </w:r>
      <w:r w:rsidR="2DA25097" w:rsidRPr="416E5148">
        <w:rPr>
          <w:rFonts w:ascii="Arial" w:hAnsi="Arial" w:cs="Arial"/>
        </w:rPr>
        <w:t>365</w:t>
      </w:r>
      <w:r w:rsidRPr="416E5148">
        <w:rPr>
          <w:rFonts w:ascii="Arial" w:hAnsi="Arial" w:cs="Arial"/>
        </w:rPr>
        <w:t xml:space="preserve"> Days = </w:t>
      </w:r>
      <w:r w:rsidR="12B60F68" w:rsidRPr="416E5148">
        <w:rPr>
          <w:rFonts w:ascii="Arial" w:hAnsi="Arial" w:cs="Arial"/>
        </w:rPr>
        <w:t>-</w:t>
      </w:r>
      <w:r w:rsidRPr="416E5148">
        <w:rPr>
          <w:rFonts w:ascii="Arial" w:hAnsi="Arial" w:cs="Arial"/>
        </w:rPr>
        <w:t>£</w:t>
      </w:r>
      <w:r w:rsidR="248A853D" w:rsidRPr="416E5148">
        <w:rPr>
          <w:rFonts w:ascii="Arial" w:hAnsi="Arial" w:cs="Arial"/>
        </w:rPr>
        <w:t>36</w:t>
      </w:r>
    </w:p>
    <w:p w14:paraId="08ADE169" w14:textId="77777777" w:rsidR="0022187C" w:rsidRDefault="0022187C" w:rsidP="0022187C">
      <w:pPr>
        <w:rPr>
          <w:rFonts w:ascii="Arial" w:hAnsi="Arial" w:cs="Arial"/>
        </w:rPr>
      </w:pPr>
    </w:p>
    <w:p w14:paraId="11AD3C6F" w14:textId="0C5CF27A" w:rsidR="0022187C" w:rsidRDefault="0022187C" w:rsidP="0022187C">
      <w:pPr>
        <w:rPr>
          <w:rFonts w:ascii="Arial" w:hAnsi="Arial" w:cs="Arial"/>
        </w:rPr>
      </w:pPr>
      <w:r w:rsidRPr="416E5148">
        <w:rPr>
          <w:rFonts w:ascii="Arial" w:hAnsi="Arial" w:cs="Arial"/>
        </w:rPr>
        <w:t>Consequently, the net final TNUoS demand reconciliation charge will be £5,000  -£250  -£3,600 + £</w:t>
      </w:r>
      <w:r w:rsidR="1E5A27B8" w:rsidRPr="416E5148">
        <w:rPr>
          <w:rFonts w:ascii="Arial" w:hAnsi="Arial" w:cs="Arial"/>
        </w:rPr>
        <w:t>1</w:t>
      </w:r>
      <w:r w:rsidRPr="416E5148">
        <w:rPr>
          <w:rFonts w:ascii="Arial" w:hAnsi="Arial" w:cs="Arial"/>
        </w:rPr>
        <w:t xml:space="preserve">50 - £300 </w:t>
      </w:r>
      <w:r w:rsidR="7C305B02" w:rsidRPr="416E5148">
        <w:rPr>
          <w:rFonts w:ascii="Arial" w:hAnsi="Arial" w:cs="Arial"/>
        </w:rPr>
        <w:t>+</w:t>
      </w:r>
      <w:r w:rsidRPr="416E5148">
        <w:rPr>
          <w:rFonts w:ascii="Arial" w:hAnsi="Arial" w:cs="Arial"/>
        </w:rPr>
        <w:t>- £</w:t>
      </w:r>
      <w:r w:rsidR="0CC4DBC6" w:rsidRPr="416E5148">
        <w:rPr>
          <w:rFonts w:ascii="Arial" w:hAnsi="Arial" w:cs="Arial"/>
        </w:rPr>
        <w:t>36</w:t>
      </w:r>
      <w:r w:rsidR="3ADAAB08" w:rsidRPr="416E5148">
        <w:rPr>
          <w:rFonts w:ascii="Arial" w:hAnsi="Arial" w:cs="Arial"/>
        </w:rPr>
        <w:t xml:space="preserve"> = £1,036</w:t>
      </w:r>
    </w:p>
    <w:bookmarkEnd w:id="431"/>
    <w:bookmarkEnd w:id="432"/>
    <w:bookmarkEnd w:id="433"/>
    <w:p w14:paraId="3DF42625" w14:textId="77777777" w:rsidR="006661FE" w:rsidRPr="008E4447" w:rsidRDefault="006661FE" w:rsidP="006661FE">
      <w:pPr>
        <w:rPr>
          <w:rFonts w:ascii="Arial" w:hAnsi="Arial" w:cs="Arial"/>
          <w:sz w:val="22"/>
          <w:szCs w:val="22"/>
        </w:rPr>
      </w:pPr>
    </w:p>
    <w:p w14:paraId="5A683FA4" w14:textId="07E4B9F7" w:rsidR="006661FE" w:rsidRPr="008E4447" w:rsidRDefault="445AA703" w:rsidP="0098730D">
      <w:pPr>
        <w:pStyle w:val="Header"/>
        <w:jc w:val="both"/>
        <w:rPr>
          <w:rFonts w:ascii="Arial" w:hAnsi="Arial" w:cs="Arial"/>
        </w:rPr>
      </w:pPr>
      <w:r w:rsidRPr="416E5148">
        <w:rPr>
          <w:rFonts w:ascii="Arial" w:eastAsia="Arial" w:hAnsi="Arial" w:cs="Arial"/>
          <w:sz w:val="20"/>
        </w:rPr>
        <w:t xml:space="preserve">Monthly reconciliation amounts are calculated in a similar way as for the Initial Reconciliation, being (i) for HH Demand and Embedded Export, the outturn annual charge divided by 12, and for NHH Demand and TDR it is the outturn charge for the month; less (ii) the amount already invoiced for that month (including through the Initial Reconciliation). </w:t>
      </w:r>
      <w:r w:rsidR="006661FE" w:rsidRPr="416E5148">
        <w:rPr>
          <w:rFonts w:ascii="Arial" w:hAnsi="Arial" w:cs="Arial"/>
        </w:rPr>
        <w:t>Interest payments are calculated based on the</w:t>
      </w:r>
      <w:r w:rsidR="540DDD19" w:rsidRPr="416E5148">
        <w:rPr>
          <w:rFonts w:ascii="Arial" w:hAnsi="Arial" w:cs="Arial"/>
        </w:rPr>
        <w:t>se</w:t>
      </w:r>
      <w:r w:rsidR="006661FE" w:rsidRPr="416E5148">
        <w:rPr>
          <w:rFonts w:ascii="Arial" w:hAnsi="Arial" w:cs="Arial"/>
        </w:rPr>
        <w:t xml:space="preserv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434" w:name="_Ref531684937"/>
      <w:bookmarkStart w:id="435" w:name="_Toc32201110"/>
      <w:r w:rsidRPr="008E4447">
        <w:rPr>
          <w:rFonts w:ascii="Arial" w:hAnsi="Arial" w:cs="Arial"/>
          <w:sz w:val="22"/>
          <w:szCs w:val="22"/>
        </w:rPr>
        <w:br w:type="page"/>
      </w:r>
      <w:bookmarkStart w:id="436" w:name="_Toc274049739"/>
      <w:bookmarkStart w:id="437" w:name="_Toc49661160"/>
      <w:r w:rsidRPr="00FE40FB">
        <w:rPr>
          <w:color w:val="auto"/>
          <w:sz w:val="28"/>
          <w:szCs w:val="28"/>
        </w:rPr>
        <w:t>14.2</w:t>
      </w:r>
      <w:r w:rsidR="00436045">
        <w:rPr>
          <w:color w:val="auto"/>
          <w:sz w:val="28"/>
          <w:szCs w:val="28"/>
        </w:rPr>
        <w:t>6</w:t>
      </w:r>
      <w:r w:rsidRPr="00FE40FB">
        <w:rPr>
          <w:color w:val="auto"/>
          <w:sz w:val="28"/>
          <w:szCs w:val="28"/>
        </w:rPr>
        <w:t xml:space="preserve"> Classification of parties for charging purposes</w:t>
      </w:r>
      <w:bookmarkEnd w:id="436"/>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udIGA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dPluLWF+kjSIpwMSx+MFi3gT856MmvF/Y+9QMWZ+WCpPYtiMonuTsFkOovC4nVme50R&#10;VhJUxQNnp+U6nH7E3qHetfRSkeSwcEctbXRS+5nVmT8ZMjXh/Hmi46/jdOr5i69+AQ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467nSB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Al9+Ur5AQAA0gMAAA4AAAAAAAAAAAAAAAAALgIA&#10;AGRycy9lMm9Eb2MueG1sUEsBAi0AFAAGAAgAAAAhABDCbL7cAAAABwEAAA8AAAAAAAAAAAAAAAAA&#10;UwQAAGRycy9kb3ducmV2LnhtbFBLBQYAAAAABAAEAPMAAABcBQ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411DB8"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c2a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5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ShzZo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zh2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HDGGdFwIAADMEAAAOAAAAAAAAAAAAAAAAAC4CAABkcnMvZTJvRG9jLnhtbFBLAQItABQABgAI&#10;AAAAIQDmxq203QAAAAoBAAAPAAAAAAAAAAAAAAAAAHEEAABkcnMvZG93bnJldi54bWxQSwUGAAAA&#10;AAQABADzAAAAewU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4BDD8F"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DmJO75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aX+p8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bZD3M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FWOJI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isi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Kq8iy7hVQnUkaRFOhqUHRosW8BdnPZm14P7nXqDizHy0NJ7VZDaL7k5BkpYzvM2Utxlh&#10;JUEVPHB2Wm7D6UXsHeqmpZsmSQ4LDzTSWie1X1id+ZMh0xDOjyc6/jZOVS9PfPMb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caisi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M0w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oydRhpl1CdiTjCuFj0I5DRAv7krKelKrj/cRSo&#10;ODMfLIm3WazXcQuTs359E2njdaS8jggrCarggbPR3Idxc48OddNSpXFcFu5I8FonLZ67mvqnxUlq&#10;TkseN/PaT1nPv+LuFwA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GeEzTD1AQAA0gMAAA4AAAAAAAAAAAAAAAAALgIAAGRy&#10;cy9lMm9Eb2MueG1sUEsBAi0AFAAGAAgAAAAhAMch0mHdAAAABwEAAA8AAAAAAAAAAAAAAAAATwQA&#10;AGRycy9kb3ducmV2LnhtbFBLBQYAAAAABAAEAPMAAABZBQ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C732D3"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ZzV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9c8js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8SB9c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7hg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G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Rg7hgFwIAACoEAAAOAAAAAAAAAAAAAAAAAC4CAABkcnMvZTJvRG9jLnhtbFBLAQItABQABgAI&#10;AAAAIQAgGuGV3QAAAAgBAAAPAAAAAAAAAAAAAAAAAHEEAABkcnMvZG93bnJldi54bWxQSwUGAAAA&#10;AAQABADzAAAAewU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6vQ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IejrqWUJ1IWYQxufTSaNIC/uGsp9QW3P8+CFScmc+W3EliUszTYrG8mZOweF0pryvC&#10;SoIqeOBsnO7C+DQODnXT0k1jHizckaO1Tmo/szrzp2QmE86vKEb/ep12Pb/17V8A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Mv6vQFwIAADMEAAAOAAAAAAAAAAAAAAAAAC4CAABkcnMvZTJvRG9jLnhtbFBLAQItABQABgAI&#10;AAAAIQDmxq203QAAAAoBAAAPAAAAAAAAAAAAAAAAAHEEAABkcnMvZG93bnJldi54bWxQSwUGAAAA&#10;AAQABADzAAAAewU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438" w:name="_Hlt501343668"/>
      <w:bookmarkStart w:id="439" w:name="_Hlt488742812"/>
      <w:bookmarkStart w:id="440" w:name="_Toc32201111"/>
      <w:bookmarkStart w:id="441" w:name="_Toc49661161"/>
      <w:bookmarkStart w:id="442" w:name="_Toc274049740"/>
      <w:bookmarkEnd w:id="434"/>
      <w:bookmarkEnd w:id="435"/>
      <w:bookmarkEnd w:id="437"/>
      <w:bookmarkEnd w:id="438"/>
      <w:bookmarkEnd w:id="439"/>
      <w:r w:rsidRPr="00FE40FB">
        <w:rPr>
          <w:color w:val="auto"/>
          <w:sz w:val="28"/>
          <w:szCs w:val="28"/>
        </w:rPr>
        <w:t>14.2</w:t>
      </w:r>
      <w:r w:rsidR="00436045">
        <w:rPr>
          <w:color w:val="auto"/>
          <w:sz w:val="28"/>
          <w:szCs w:val="28"/>
        </w:rPr>
        <w:t>7</w:t>
      </w:r>
      <w:r w:rsidRPr="00FE40FB">
        <w:rPr>
          <w:color w:val="auto"/>
          <w:sz w:val="28"/>
          <w:szCs w:val="28"/>
        </w:rPr>
        <w:t xml:space="preserve"> Transmission Network Use of System Charging Flowcharts</w:t>
      </w:r>
      <w:bookmarkEnd w:id="440"/>
      <w:bookmarkEnd w:id="441"/>
      <w:bookmarkEnd w:id="442"/>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443" w:name="_Toc32201112"/>
      <w:bookmarkStart w:id="444" w:name="_Toc49661162"/>
      <w:bookmarkStart w:id="445" w:name="_Toc274049741"/>
      <w:r>
        <w:t>Demand Charges</w:t>
      </w:r>
      <w:bookmarkEnd w:id="443"/>
      <w:bookmarkEnd w:id="444"/>
      <w:bookmarkEnd w:id="445"/>
    </w:p>
    <w:p w14:paraId="6FFEEB6C" w14:textId="77777777" w:rsidR="00E010AE" w:rsidRDefault="00000000" w:rsidP="006661FE">
      <w:pPr>
        <w:pStyle w:val="1"/>
        <w:jc w:val="both"/>
      </w:pPr>
      <w:bookmarkStart w:id="446" w:name="_Toc32201113"/>
      <w:bookmarkStart w:id="447" w:name="_Toc49661163"/>
      <w:r>
        <w:rPr>
          <w:noProof/>
          <w:sz w:val="20"/>
        </w:rPr>
        <w:pict w14:anchorId="095B0C15">
          <v:shape id="_x0000_s2438" type="#_x0000_t75" style="position:absolute;left:0;text-align:left;margin-left:-18pt;margin-top:17.7pt;width:570.95pt;height:585pt;z-index:251658266">
            <v:imagedata r:id="rId97" o:title=""/>
            <w10:wrap type="topAndBottom"/>
          </v:shape>
        </w:pict>
      </w:r>
      <w:r w:rsidR="006661FE">
        <w:t xml:space="preserve"> </w:t>
      </w:r>
      <w:r w:rsidR="006661FE">
        <w:br w:type="page"/>
        <w:t xml:space="preserve">Generation </w:t>
      </w:r>
    </w:p>
    <w:p w14:paraId="219A8812" w14:textId="77777777" w:rsidR="00E010AE" w:rsidRDefault="006661FE" w:rsidP="006661FE">
      <w:pPr>
        <w:pStyle w:val="1"/>
        <w:jc w:val="both"/>
      </w:pPr>
      <w:r>
        <w:t>Charges</w:t>
      </w:r>
      <w:bookmarkStart w:id="448" w:name="OLE_LINK9"/>
      <w:bookmarkStart w:id="449" w:name="OLE_LINK12"/>
      <w:bookmarkEnd w:id="446"/>
      <w:bookmarkEnd w:id="447"/>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448"/>
      <w:bookmarkEnd w:id="449"/>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450" w:name="_Toc274049742"/>
      <w:r w:rsidRPr="00FE40FB">
        <w:rPr>
          <w:color w:val="auto"/>
          <w:sz w:val="28"/>
          <w:szCs w:val="28"/>
        </w:rPr>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450"/>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451" w:name="_Toc274049743"/>
      <w:r w:rsidRPr="008E4447">
        <w:rPr>
          <w:rFonts w:ascii="Arial" w:hAnsi="Arial" w:cs="Arial"/>
          <w:szCs w:val="22"/>
        </w:rPr>
        <w:t>i)</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451"/>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452"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452"/>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453"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453"/>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454" w:name="_Toc70749747"/>
      <w:bookmarkStart w:id="455"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454"/>
      <w:bookmarkEnd w:id="455"/>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at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456" w:name="_Toc274049747"/>
      <w:r w:rsidRPr="00FE40FB">
        <w:rPr>
          <w:color w:val="auto"/>
          <w:sz w:val="28"/>
          <w:szCs w:val="28"/>
        </w:rPr>
        <w:t>14.2</w:t>
      </w:r>
      <w:r w:rsidR="00436045">
        <w:rPr>
          <w:color w:val="auto"/>
          <w:sz w:val="28"/>
          <w:szCs w:val="28"/>
        </w:rPr>
        <w:t>9</w:t>
      </w:r>
      <w:r w:rsidRPr="00FE40FB">
        <w:rPr>
          <w:color w:val="auto"/>
          <w:sz w:val="28"/>
          <w:szCs w:val="28"/>
        </w:rPr>
        <w:t xml:space="preserve"> Stability &amp; Predictability of TNUoS tariffs</w:t>
      </w:r>
      <w:bookmarkEnd w:id="456"/>
    </w:p>
    <w:p w14:paraId="70CE6CDB" w14:textId="77777777" w:rsidR="006661FE" w:rsidRDefault="006661FE">
      <w:pPr>
        <w:pStyle w:val="1"/>
        <w:jc w:val="both"/>
      </w:pPr>
    </w:p>
    <w:p w14:paraId="3A32FE67" w14:textId="77777777" w:rsidR="006661FE" w:rsidRPr="007B2988" w:rsidRDefault="006661FE" w:rsidP="006661FE">
      <w:pPr>
        <w:pStyle w:val="Heading2"/>
      </w:pPr>
      <w:bookmarkStart w:id="457" w:name="_Toc274049748"/>
      <w:r w:rsidRPr="007B2988">
        <w:t>Stability of tariffs</w:t>
      </w:r>
      <w:bookmarkEnd w:id="457"/>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annuitised value of capital investment required to transport 1MW over 1km by a 400kV over-head line, changes annually according to </w:t>
      </w:r>
      <w:r w:rsidR="00220C6E">
        <w:rPr>
          <w:rFonts w:ascii="Arial" w:hAnsi="Arial" w:cs="Arial"/>
          <w:sz w:val="22"/>
          <w:szCs w:val="22"/>
        </w:rPr>
        <w:t>TOPI</w:t>
      </w:r>
      <w:r w:rsidRPr="007B2988">
        <w:rPr>
          <w:rFonts w:ascii="Arial" w:hAnsi="Arial" w:cs="Arial"/>
          <w:sz w:val="22"/>
          <w:szCs w:val="22"/>
        </w:rPr>
        <w:t>. The other elements used to derive the expansion constant are only reviewed at the beginning of a price control period to ensure that it remains cost-reflective.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458" w:name="_Toc274049749"/>
      <w:r w:rsidRPr="007B2988">
        <w:t>Predictability of tariffs</w:t>
      </w:r>
      <w:bookmarkEnd w:id="458"/>
    </w:p>
    <w:p w14:paraId="6552A630" w14:textId="77777777" w:rsidR="006661FE" w:rsidRPr="007B2988" w:rsidRDefault="006661FE" w:rsidP="006661FE">
      <w:pPr>
        <w:rPr>
          <w:rFonts w:ascii="Arial" w:hAnsi="Arial" w:cs="Arial"/>
          <w:b/>
          <w:sz w:val="22"/>
          <w:szCs w:val="22"/>
        </w:rPr>
      </w:pPr>
    </w:p>
    <w:p w14:paraId="2EBE7CE8" w14:textId="7E874B7F" w:rsidR="006661FE" w:rsidRPr="007B2988" w:rsidRDefault="4C0F0931" w:rsidP="006661FE">
      <w:pPr>
        <w:jc w:val="both"/>
        <w:rPr>
          <w:rFonts w:ascii="Arial" w:hAnsi="Arial" w:cs="Arial"/>
          <w:sz w:val="22"/>
          <w:szCs w:val="22"/>
        </w:rPr>
      </w:pPr>
      <w:r w:rsidRPr="03871E98">
        <w:rPr>
          <w:rFonts w:ascii="Arial" w:hAnsi="Arial" w:cs="Arial"/>
          <w:b/>
          <w:bCs/>
          <w:sz w:val="22"/>
          <w:szCs w:val="22"/>
        </w:rPr>
        <w:t>The Company</w:t>
      </w:r>
      <w:r w:rsidR="5083A541" w:rsidRPr="03871E98">
        <w:rPr>
          <w:rFonts w:ascii="Arial" w:hAnsi="Arial" w:cs="Arial"/>
          <w:sz w:val="22"/>
          <w:szCs w:val="22"/>
        </w:rPr>
        <w:t xml:space="preserve"> revises TNUoS tariffs each year to ensure that these remain cost-reflective and take into account changes to allowable income under the price control and </w:t>
      </w:r>
      <w:r w:rsidR="55581A28" w:rsidRPr="03871E98">
        <w:rPr>
          <w:rFonts w:ascii="Arial" w:hAnsi="Arial" w:cs="Arial"/>
          <w:sz w:val="22"/>
          <w:szCs w:val="22"/>
        </w:rPr>
        <w:t>TOPI</w:t>
      </w:r>
      <w:r w:rsidR="5083A541" w:rsidRPr="03871E98">
        <w:rPr>
          <w:rFonts w:ascii="Arial" w:hAnsi="Arial" w:cs="Arial"/>
          <w:sz w:val="22"/>
          <w:szCs w:val="22"/>
        </w:rPr>
        <w:t xml:space="preserve">.  There are a number of provisions within </w:t>
      </w:r>
      <w:r w:rsidR="386840D1" w:rsidRPr="03871E98">
        <w:rPr>
          <w:rFonts w:ascii="Arial" w:hAnsi="Arial" w:cs="Arial"/>
          <w:sz w:val="22"/>
          <w:szCs w:val="22"/>
        </w:rPr>
        <w:t xml:space="preserve">the </w:t>
      </w:r>
      <w:r w:rsidR="08976E99" w:rsidRPr="009919C1">
        <w:rPr>
          <w:rFonts w:ascii="Arial" w:hAnsi="Arial" w:cs="Arial"/>
          <w:b/>
          <w:bCs/>
          <w:sz w:val="22"/>
          <w:szCs w:val="22"/>
        </w:rPr>
        <w:t>ESO</w:t>
      </w:r>
      <w:r w:rsidR="08976E99" w:rsidRPr="03871E98">
        <w:rPr>
          <w:rFonts w:ascii="Arial" w:hAnsi="Arial" w:cs="Arial"/>
          <w:sz w:val="22"/>
          <w:szCs w:val="22"/>
        </w:rPr>
        <w:t xml:space="preserve"> </w:t>
      </w:r>
      <w:r w:rsidR="5083A541" w:rsidRPr="009919C1">
        <w:rPr>
          <w:rFonts w:ascii="Arial" w:hAnsi="Arial" w:cs="Arial"/>
          <w:b/>
          <w:bCs/>
          <w:sz w:val="22"/>
          <w:szCs w:val="22"/>
        </w:rPr>
        <w:t xml:space="preserve">Licence </w:t>
      </w:r>
      <w:r w:rsidR="5083A541" w:rsidRPr="03871E98">
        <w:rPr>
          <w:rFonts w:ascii="Arial" w:hAnsi="Arial" w:cs="Arial"/>
          <w:sz w:val="22"/>
          <w:szCs w:val="22"/>
        </w:rPr>
        <w:t xml:space="preserve">and the CUSC designed to promote the predictability of annually varying charges.  Specifically, </w:t>
      </w:r>
      <w:r w:rsidRPr="03871E98">
        <w:rPr>
          <w:rFonts w:ascii="Arial" w:hAnsi="Arial" w:cs="Arial"/>
          <w:b/>
          <w:bCs/>
          <w:sz w:val="22"/>
          <w:szCs w:val="22"/>
        </w:rPr>
        <w:t>The Company</w:t>
      </w:r>
      <w:r w:rsidR="5083A541" w:rsidRPr="03871E98">
        <w:rPr>
          <w:rFonts w:ascii="Arial" w:hAnsi="Arial" w:cs="Arial"/>
          <w:sz w:val="22"/>
          <w:szCs w:val="22"/>
        </w:rPr>
        <w:t xml:space="preserve"> is required to give the Authority 150 days notice of its intention to change use of system charges together with a reasonable assessment of the proposals on those charges; and to give Users 2 months written notice of any revised charges.  </w:t>
      </w:r>
      <w:r w:rsidRPr="03871E98">
        <w:rPr>
          <w:rFonts w:ascii="Arial" w:hAnsi="Arial" w:cs="Arial"/>
          <w:b/>
          <w:bCs/>
          <w:sz w:val="22"/>
          <w:szCs w:val="22"/>
        </w:rPr>
        <w:t>The Company</w:t>
      </w:r>
      <w:r w:rsidR="5083A541" w:rsidRPr="03871E98">
        <w:rPr>
          <w:rFonts w:ascii="Arial" w:hAnsi="Arial" w:cs="Arial"/>
          <w:sz w:val="22"/>
          <w:szCs w:val="22"/>
        </w:rPr>
        <w:t xml:space="preserve"> typically provides an additional months notice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684EB1DD" w:rsidR="006661FE" w:rsidRPr="007B2988" w:rsidRDefault="5083A541" w:rsidP="006661FE">
      <w:pPr>
        <w:jc w:val="both"/>
        <w:rPr>
          <w:rFonts w:ascii="Arial" w:hAnsi="Arial" w:cs="Arial"/>
          <w:sz w:val="22"/>
          <w:szCs w:val="22"/>
        </w:rPr>
      </w:pPr>
      <w:r w:rsidRPr="03871E98">
        <w:rPr>
          <w:rFonts w:ascii="Arial" w:hAnsi="Arial" w:cs="Arial"/>
          <w:sz w:val="22"/>
          <w:szCs w:val="22"/>
        </w:rPr>
        <w:t xml:space="preserve">More fundamentally, </w:t>
      </w:r>
      <w:r w:rsidR="4C0F0931" w:rsidRPr="03871E98">
        <w:rPr>
          <w:rFonts w:ascii="Arial" w:hAnsi="Arial" w:cs="Arial"/>
          <w:b/>
          <w:bCs/>
          <w:sz w:val="22"/>
          <w:szCs w:val="22"/>
        </w:rPr>
        <w:t>The Company</w:t>
      </w:r>
      <w:r w:rsidRPr="03871E98">
        <w:rPr>
          <w:rFonts w:ascii="Arial" w:hAnsi="Arial" w:cs="Arial"/>
          <w:sz w:val="22"/>
          <w:szCs w:val="22"/>
        </w:rPr>
        <w:t xml:space="preserve"> also provides Users with the tool used by </w:t>
      </w:r>
      <w:r w:rsidR="4C0F0931" w:rsidRPr="03871E98">
        <w:rPr>
          <w:rFonts w:ascii="Arial" w:hAnsi="Arial" w:cs="Arial"/>
          <w:b/>
          <w:bCs/>
          <w:sz w:val="22"/>
          <w:szCs w:val="22"/>
        </w:rPr>
        <w:t>The Company</w:t>
      </w:r>
      <w:r w:rsidRPr="03871E98">
        <w:rPr>
          <w:rFonts w:ascii="Arial" w:hAnsi="Arial" w:cs="Arial"/>
          <w:sz w:val="22"/>
          <w:szCs w:val="22"/>
        </w:rPr>
        <w:t xml:space="preserve"> to calculate tariffs. This allows Users to make their own predictions on how future changes in the generation and supply sectors will influence tariffs. Along with the price control information, the data from the </w:t>
      </w:r>
      <w:r w:rsidR="1A0FA4E5" w:rsidRPr="009919C1">
        <w:rPr>
          <w:rFonts w:ascii="Arial" w:hAnsi="Arial" w:cs="Arial"/>
          <w:b/>
          <w:bCs/>
          <w:sz w:val="22"/>
          <w:szCs w:val="22"/>
        </w:rPr>
        <w:t>Electricity Ten Year Statement (ETYS)</w:t>
      </w:r>
      <w:r w:rsidRPr="03871E98">
        <w:rPr>
          <w:rFonts w:ascii="Arial" w:hAnsi="Arial" w:cs="Arial"/>
          <w:sz w:val="22"/>
          <w:szCs w:val="22"/>
        </w:rPr>
        <w:t xml:space="preserve">, and Users own prediction of market activity, Users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2E0A4F8A" w:rsidR="006661FE" w:rsidRPr="007B2988" w:rsidRDefault="5083A541" w:rsidP="325E90A3">
      <w:pPr>
        <w:jc w:val="both"/>
        <w:rPr>
          <w:rFonts w:ascii="Arial" w:hAnsi="Arial" w:cs="Arial"/>
          <w:sz w:val="22"/>
          <w:szCs w:val="22"/>
        </w:rPr>
      </w:pPr>
      <w:r w:rsidRPr="007B2988">
        <w:rPr>
          <w:rFonts w:ascii="Arial" w:hAnsi="Arial" w:cs="Arial"/>
          <w:sz w:val="22"/>
          <w:szCs w:val="22"/>
        </w:rPr>
        <w:t xml:space="preserve">To supplement this, </w:t>
      </w:r>
      <w:r w:rsidR="4C0F0931" w:rsidRPr="325E90A3">
        <w:rPr>
          <w:rFonts w:ascii="Arial" w:hAnsi="Arial" w:cs="Arial"/>
          <w:b/>
          <w:bCs/>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006661FE"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w:t>
      </w:r>
      <w:r w:rsidR="23A17BED" w:rsidRPr="03871E98">
        <w:rPr>
          <w:rFonts w:ascii="Arial" w:hAnsi="Arial" w:cs="Arial"/>
          <w:sz w:val="22"/>
          <w:szCs w:val="22"/>
        </w:rPr>
        <w:t xml:space="preserve"> </w:t>
      </w:r>
      <w:r w:rsidR="23A17BED" w:rsidRPr="009919C1">
        <w:rPr>
          <w:rFonts w:ascii="Arial" w:hAnsi="Arial" w:cs="Arial"/>
          <w:b/>
          <w:bCs/>
          <w:sz w:val="22"/>
          <w:szCs w:val="22"/>
        </w:rPr>
        <w:t>Electricity Ten Year Statement (ETYS</w:t>
      </w:r>
      <w:r w:rsidR="23A17BED" w:rsidRPr="03871E98">
        <w:rPr>
          <w:rFonts w:ascii="Arial" w:hAnsi="Arial" w:cs="Arial"/>
          <w:sz w:val="22"/>
          <w:szCs w:val="22"/>
        </w:rPr>
        <w:t>)</w:t>
      </w:r>
      <w:r w:rsidRPr="007B2988">
        <w:rPr>
          <w:rFonts w:ascii="Arial" w:hAnsi="Arial" w:cs="Arial"/>
          <w:sz w:val="22"/>
          <w:szCs w:val="22"/>
        </w:rPr>
        <w: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days notice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45F6740A" w14:textId="0F4E85E9" w:rsidR="00222CB5" w:rsidRPr="006351F1" w:rsidRDefault="00222CB5" w:rsidP="00222CB5">
      <w:pPr>
        <w:pStyle w:val="1"/>
        <w:jc w:val="both"/>
        <w:rPr>
          <w:rFonts w:ascii="Arial" w:hAnsi="Arial" w:cs="Arial"/>
        </w:rPr>
      </w:pPr>
      <w:r w:rsidRPr="006351F1">
        <w:rPr>
          <w:rFonts w:ascii="Arial" w:hAnsi="Arial" w:cs="Arial"/>
        </w:rPr>
        <w:t xml:space="preserve">The calculation, as undertaken by </w:t>
      </w:r>
      <w:r w:rsidRPr="006351F1">
        <w:rPr>
          <w:rFonts w:ascii="Arial" w:hAnsi="Arial" w:cs="Arial"/>
          <w:b/>
          <w:bCs/>
        </w:rPr>
        <w:t>The Company</w:t>
      </w:r>
      <w:r w:rsidRPr="006351F1">
        <w:rPr>
          <w:rFonts w:ascii="Arial" w:hAnsi="Arial" w:cs="Arial"/>
        </w:rPr>
        <w:t xml:space="preserve">, of the </w:t>
      </w:r>
      <w:r w:rsidRPr="006351F1">
        <w:rPr>
          <w:rFonts w:ascii="Arial" w:hAnsi="Arial" w:cs="Arial"/>
          <w:b/>
          <w:bCs/>
        </w:rPr>
        <w:t xml:space="preserve">Charges for Physical Assets required for Connection </w:t>
      </w:r>
      <w:r w:rsidRPr="006351F1">
        <w:rPr>
          <w:rFonts w:ascii="Arial" w:hAnsi="Arial" w:cs="Arial"/>
        </w:rPr>
        <w:t xml:space="preserve">when setting TNUoS Charges for a Charging Year </w:t>
      </w:r>
    </w:p>
    <w:p w14:paraId="1ACE7130" w14:textId="77777777" w:rsidR="00222CB5" w:rsidRPr="006351F1" w:rsidRDefault="00222CB5" w:rsidP="00222CB5">
      <w:pPr>
        <w:pStyle w:val="1"/>
        <w:jc w:val="both"/>
        <w:rPr>
          <w:rFonts w:ascii="Arial" w:hAnsi="Arial" w:cs="Arial"/>
        </w:rPr>
      </w:pPr>
      <w:r w:rsidRPr="006351F1">
        <w:rPr>
          <w:rFonts w:ascii="Arial" w:hAnsi="Arial" w:cs="Arial"/>
        </w:rPr>
        <w:t xml:space="preserve"> </w:t>
      </w:r>
    </w:p>
    <w:p w14:paraId="7CD8F1D6" w14:textId="77777777" w:rsidR="00222CB5"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TNUoS Tariffs, at the same time as </w:t>
      </w:r>
      <w:r w:rsidRPr="006351F1">
        <w:rPr>
          <w:rFonts w:ascii="Arial" w:hAnsi="Arial" w:cs="Arial"/>
          <w:b/>
          <w:bCs/>
        </w:rPr>
        <w:t>The Company</w:t>
      </w:r>
      <w:r w:rsidRPr="006351F1">
        <w:rPr>
          <w:rFonts w:ascii="Arial" w:hAnsi="Arial" w:cs="Arial"/>
        </w:rPr>
        <w:t xml:space="preserve"> publishes the draft and final TNUoS Charges for a Charging Year, </w:t>
      </w:r>
      <w:r w:rsidRPr="006351F1">
        <w:rPr>
          <w:rFonts w:ascii="Arial" w:hAnsi="Arial" w:cs="Arial"/>
          <w:b/>
          <w:bCs/>
        </w:rPr>
        <w:t>The Company</w:t>
      </w:r>
      <w:r w:rsidRPr="006351F1">
        <w:rPr>
          <w:rFonts w:ascii="Arial" w:hAnsi="Arial" w:cs="Arial"/>
        </w:rPr>
        <w:t xml:space="preserve"> shall publish the details and components applied in the above calculation, the figures attributed to these and the output of the calculations as provided for in the proforma calculation schedule attached at Schedule 1 to this CUSC Section 14. The output shall be published in the form as set out in Schedule 1 to this CUSC Section 14.</w:t>
      </w:r>
    </w:p>
    <w:p w14:paraId="29C28FD0" w14:textId="77777777" w:rsidR="00222CB5" w:rsidRPr="006351F1" w:rsidRDefault="00222CB5" w:rsidP="00222CB5">
      <w:pPr>
        <w:pStyle w:val="1"/>
        <w:jc w:val="both"/>
        <w:rPr>
          <w:rFonts w:ascii="Arial" w:hAnsi="Arial" w:cs="Arial"/>
        </w:rPr>
      </w:pPr>
    </w:p>
    <w:p w14:paraId="2813D5C9" w14:textId="166DF5C5" w:rsidR="00222CB5" w:rsidRPr="006351F1" w:rsidRDefault="00222CB5" w:rsidP="00222CB5">
      <w:pPr>
        <w:pStyle w:val="1"/>
        <w:jc w:val="both"/>
        <w:rPr>
          <w:rFonts w:ascii="Arial" w:hAnsi="Arial" w:cs="Arial"/>
        </w:rPr>
      </w:pPr>
      <w:r w:rsidRPr="006351F1">
        <w:rPr>
          <w:rFonts w:ascii="Arial" w:hAnsi="Arial" w:cs="Arial"/>
        </w:rPr>
        <w:t xml:space="preserve">Guidance on the Calculation of the </w:t>
      </w:r>
      <w:r w:rsidRPr="006351F1">
        <w:rPr>
          <w:rFonts w:ascii="Arial" w:hAnsi="Arial" w:cs="Arial"/>
          <w:b/>
          <w:bCs/>
        </w:rPr>
        <w:t>Charges for Physical Assets required for Connection</w:t>
      </w:r>
      <w:r w:rsidRPr="006351F1">
        <w:rPr>
          <w:rFonts w:ascii="Arial" w:hAnsi="Arial" w:cs="Arial"/>
        </w:rPr>
        <w:t xml:space="preserve"> when setting TNUoS Charges for a Charging Year </w:t>
      </w:r>
    </w:p>
    <w:p w14:paraId="1BFD54D7" w14:textId="77777777" w:rsidR="00222CB5" w:rsidRPr="006351F1" w:rsidRDefault="00222CB5" w:rsidP="00222CB5">
      <w:pPr>
        <w:pStyle w:val="1"/>
        <w:jc w:val="both"/>
        <w:rPr>
          <w:rFonts w:ascii="Arial" w:hAnsi="Arial" w:cs="Arial"/>
        </w:rPr>
      </w:pPr>
      <w:r w:rsidRPr="006351F1">
        <w:rPr>
          <w:rFonts w:ascii="Arial" w:hAnsi="Arial" w:cs="Arial"/>
        </w:rPr>
        <w:t xml:space="preserve"> </w:t>
      </w:r>
    </w:p>
    <w:p w14:paraId="5212ED6F" w14:textId="6E834B5C" w:rsidR="006661FE"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TNUoS Tariffs in each Charging Year, and in any event no later than the date </w:t>
      </w:r>
      <w:r w:rsidRPr="006351F1">
        <w:rPr>
          <w:rFonts w:ascii="Arial" w:hAnsi="Arial" w:cs="Arial"/>
          <w:b/>
          <w:bCs/>
        </w:rPr>
        <w:t>The Company</w:t>
      </w:r>
      <w:r w:rsidRPr="006351F1">
        <w:rPr>
          <w:rFonts w:ascii="Arial" w:hAnsi="Arial" w:cs="Arial"/>
        </w:rPr>
        <w:t xml:space="preserve"> publishes the draft TNUoS Charges for the following Charging Year, </w:t>
      </w:r>
      <w:r w:rsidRPr="006351F1">
        <w:rPr>
          <w:rFonts w:ascii="Arial" w:hAnsi="Arial" w:cs="Arial"/>
          <w:b/>
          <w:bCs/>
        </w:rPr>
        <w:t>The  Company</w:t>
      </w:r>
      <w:r w:rsidRPr="006351F1">
        <w:rPr>
          <w:rFonts w:ascii="Arial" w:hAnsi="Arial" w:cs="Arial"/>
        </w:rPr>
        <w:t xml:space="preserve"> shall publish guidance on how it will undertake the calculation to set TNUoS tariffs in compliance with the </w:t>
      </w:r>
      <w:r w:rsidRPr="006351F1">
        <w:rPr>
          <w:rFonts w:ascii="Arial" w:hAnsi="Arial" w:cs="Arial"/>
          <w:b/>
          <w:bCs/>
        </w:rPr>
        <w:t>Limiting Regulation</w:t>
      </w:r>
      <w:r w:rsidRPr="006351F1">
        <w:rPr>
          <w:rFonts w:ascii="Arial" w:hAnsi="Arial" w:cs="Arial"/>
        </w:rPr>
        <w:t xml:space="preserve"> for that following Charging Year and when assessing compliance following the conclusion of that Charging Year</w:t>
      </w:r>
      <w:r w:rsidR="006D6620">
        <w:rPr>
          <w:rFonts w:ascii="Arial" w:hAnsi="Arial" w:cs="Arial"/>
        </w:rPr>
        <w:t>.</w:t>
      </w:r>
    </w:p>
    <w:p w14:paraId="3B2B8E0C" w14:textId="77777777" w:rsidR="00750515" w:rsidRPr="009A4AC7" w:rsidRDefault="006661FE" w:rsidP="00750515">
      <w:pPr>
        <w:pStyle w:val="Heading1"/>
        <w:jc w:val="center"/>
        <w:rPr>
          <w:color w:val="auto"/>
        </w:rPr>
      </w:pPr>
      <w:r>
        <w:br w:type="page"/>
      </w:r>
      <w:bookmarkStart w:id="459" w:name="_Toc3598575"/>
      <w:bookmarkStart w:id="460" w:name="_Toc35675434"/>
      <w:bookmarkStart w:id="461" w:name="_Toc274049751"/>
      <w:r w:rsidR="00750515" w:rsidRPr="009A4AC7">
        <w:rPr>
          <w:color w:val="auto"/>
        </w:rPr>
        <w:t>Section 2 – The Statement of the Balancing Services Use of System Charging Methodology</w:t>
      </w:r>
    </w:p>
    <w:p w14:paraId="10F52A38" w14:textId="77777777" w:rsidR="00750515" w:rsidRPr="00512312" w:rsidRDefault="00750515" w:rsidP="00750515"/>
    <w:bookmarkEnd w:id="459"/>
    <w:bookmarkEnd w:id="460"/>
    <w:bookmarkEnd w:id="461"/>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462" w:name="_Hlt474031874"/>
      <w:bookmarkEnd w:id="462"/>
      <w:r>
        <w:rPr>
          <w:b/>
        </w:rPr>
        <w:fldChar w:fldCharType="begin"/>
      </w:r>
      <w:r>
        <w:rPr>
          <w:b/>
        </w:rPr>
        <w:instrText>tc \l2 "Transmission Services Use of System Charges Background</w:instrText>
      </w:r>
      <w:r>
        <w:rPr>
          <w:b/>
        </w:rPr>
        <w:fldChar w:fldCharType="end"/>
      </w:r>
    </w:p>
    <w:p w14:paraId="2C7D0FEF" w14:textId="2408F1CE" w:rsidR="00750515" w:rsidRDefault="31950FA6" w:rsidP="007D27B2">
      <w:pPr>
        <w:pStyle w:val="1"/>
        <w:numPr>
          <w:ilvl w:val="0"/>
          <w:numId w:val="78"/>
        </w:numPr>
        <w:jc w:val="both"/>
      </w:pPr>
      <w:r>
        <w:t xml:space="preserve">The </w:t>
      </w:r>
      <w:r w:rsidR="0E1BE22B" w:rsidRPr="009919C1">
        <w:rPr>
          <w:b/>
          <w:bCs/>
        </w:rPr>
        <w:t>ESO</w:t>
      </w:r>
      <w:r w:rsidRPr="009919C1">
        <w:rPr>
          <w:b/>
          <w:bCs/>
        </w:rPr>
        <w:t xml:space="preserve"> Licence</w:t>
      </w:r>
      <w:r>
        <w:t xml:space="preserve"> allows </w:t>
      </w:r>
      <w:r w:rsidR="4C0F0931" w:rsidRPr="03871E98">
        <w:rPr>
          <w:b/>
          <w:bCs/>
        </w:rPr>
        <w:t>The Company</w:t>
      </w:r>
      <w:r>
        <w:t xml:space="preserve"> to derive revenue through the Balancing Services Use of System (BSUoS) </w:t>
      </w:r>
      <w:r w:rsidR="7F61B945">
        <w:t>C</w:t>
      </w:r>
      <w:r>
        <w:t xml:space="preserve">harges.  This statement explains the methodology used in order to calculate the BSUoS </w:t>
      </w:r>
      <w:r w:rsidR="7F61B945">
        <w:t>C</w:t>
      </w:r>
      <w:r>
        <w:t>harges.</w:t>
      </w:r>
    </w:p>
    <w:p w14:paraId="54D910C6" w14:textId="77777777" w:rsidR="00750515" w:rsidRDefault="00750515" w:rsidP="00750515">
      <w:pPr>
        <w:pStyle w:val="1"/>
        <w:jc w:val="both"/>
      </w:pPr>
    </w:p>
    <w:p w14:paraId="1BBA3429" w14:textId="77777777" w:rsidR="00750515" w:rsidRDefault="00750515" w:rsidP="00750515">
      <w:pPr>
        <w:pStyle w:val="1"/>
        <w:jc w:val="both"/>
      </w:pPr>
    </w:p>
    <w:p w14:paraId="516FBD0B" w14:textId="350EE560" w:rsidR="00750515" w:rsidRPr="00CF4B8F" w:rsidRDefault="4C0F0931" w:rsidP="007D27B2">
      <w:pPr>
        <w:pStyle w:val="1"/>
        <w:numPr>
          <w:ilvl w:val="0"/>
          <w:numId w:val="78"/>
        </w:numPr>
        <w:jc w:val="both"/>
      </w:pPr>
      <w:r w:rsidRPr="325E90A3">
        <w:rPr>
          <w:b/>
          <w:bCs/>
        </w:rPr>
        <w:t>The Company</w:t>
      </w:r>
      <w:r w:rsidR="31950FA6">
        <w:t xml:space="preserve"> keeps the electricity system in balance (energy balancing) and maintains the quality and security of supply (system balancing).  Users pay for the cost of these through BSUoS </w:t>
      </w:r>
      <w:r w:rsidR="7F61B945">
        <w:t>C</w:t>
      </w:r>
      <w:r w:rsidR="31950FA6">
        <w:t>harge</w:t>
      </w:r>
      <w:r w:rsidR="7F61B945">
        <w:t>s</w:t>
      </w:r>
      <w:r w:rsidR="31950FA6">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02DD387E" w:rsidR="00C837D0" w:rsidRDefault="51404162" w:rsidP="007D27B2">
      <w:pPr>
        <w:pStyle w:val="1"/>
        <w:numPr>
          <w:ilvl w:val="0"/>
          <w:numId w:val="78"/>
        </w:numPr>
        <w:jc w:val="both"/>
      </w:pPr>
      <w:r>
        <w:t>BSUoS Charges are calculated on a fixed price basis as described in Section 14.3</w:t>
      </w:r>
      <w:r w:rsidR="1DF3326B">
        <w:t>1</w:t>
      </w:r>
      <w:r>
        <w:t>.</w:t>
      </w:r>
    </w:p>
    <w:p w14:paraId="034D771E" w14:textId="77777777" w:rsidR="00750515" w:rsidRDefault="00750515" w:rsidP="00750515">
      <w:pPr>
        <w:pStyle w:val="1"/>
        <w:jc w:val="both"/>
      </w:pPr>
      <w:bookmarkStart w:id="463"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The Total Costs of the Balancing Mechanism</w:t>
      </w:r>
    </w:p>
    <w:p w14:paraId="1953AFD8"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Total Balancing Services Contract costs</w:t>
      </w:r>
    </w:p>
    <w:p w14:paraId="3A8DAFA9" w14:textId="0A407902" w:rsidR="00750515" w:rsidRPr="009919C1" w:rsidRDefault="49EEC1E2"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Internal Expenditure (as defined in the </w:t>
      </w:r>
      <w:r w:rsidRPr="009919C1">
        <w:rPr>
          <w:rFonts w:ascii="Arial" w:hAnsi="Arial"/>
          <w:b/>
          <w:bCs/>
          <w:sz w:val="22"/>
          <w:szCs w:val="22"/>
        </w:rPr>
        <w:t>ESO Licence</w:t>
      </w:r>
      <w:r w:rsidRPr="009919C1">
        <w:rPr>
          <w:rFonts w:ascii="Arial" w:hAnsi="Arial"/>
          <w:sz w:val="22"/>
          <w:szCs w:val="22"/>
        </w:rPr>
        <w:t xml:space="preserve">) </w:t>
      </w:r>
    </w:p>
    <w:p w14:paraId="6898B717" w14:textId="666F00F7" w:rsidR="00750515" w:rsidRPr="009919C1" w:rsidRDefault="694C5441"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RAV Returns (as defined in the </w:t>
      </w:r>
      <w:r w:rsidRPr="009919C1">
        <w:rPr>
          <w:rFonts w:ascii="Arial" w:hAnsi="Arial"/>
          <w:b/>
          <w:bCs/>
          <w:sz w:val="22"/>
          <w:szCs w:val="22"/>
        </w:rPr>
        <w:t>ESO Licence)</w:t>
      </w:r>
    </w:p>
    <w:p w14:paraId="45B4DF3F"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Costs associated with contracting for and developing Balancing Services</w:t>
      </w:r>
    </w:p>
    <w:p w14:paraId="46E55152"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Adjustments</w:t>
      </w:r>
    </w:p>
    <w:p w14:paraId="666DA408"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 xml:space="preserve">Costs invoiced to </w:t>
      </w:r>
      <w:r w:rsidR="4C0F0931" w:rsidRPr="325E90A3">
        <w:rPr>
          <w:rFonts w:ascii="Arial" w:hAnsi="Arial"/>
          <w:b/>
          <w:bCs/>
          <w:sz w:val="22"/>
          <w:szCs w:val="22"/>
        </w:rPr>
        <w:t>The Company</w:t>
      </w:r>
      <w:r w:rsidRPr="325E90A3">
        <w:rPr>
          <w:rFonts w:ascii="Arial" w:hAnsi="Arial"/>
          <w:sz w:val="22"/>
          <w:szCs w:val="22"/>
        </w:rPr>
        <w:t xml:space="preserve"> associated with Manifest Errors and Special Provisions.</w:t>
      </w:r>
    </w:p>
    <w:p w14:paraId="36359A93" w14:textId="194B6114" w:rsidR="007F14BA" w:rsidRDefault="0049181B" w:rsidP="00AD0F03">
      <w:pPr>
        <w:numPr>
          <w:ilvl w:val="0"/>
          <w:numId w:val="61"/>
        </w:numPr>
        <w:tabs>
          <w:tab w:val="clear" w:pos="1440"/>
          <w:tab w:val="num" w:pos="8647"/>
        </w:tabs>
        <w:ind w:left="2347"/>
        <w:rPr>
          <w:rFonts w:ascii="Arial" w:hAnsi="Arial"/>
          <w:sz w:val="22"/>
          <w:szCs w:val="22"/>
        </w:rPr>
      </w:pPr>
      <w:r>
        <w:rPr>
          <w:rFonts w:ascii="Arial" w:hAnsi="Arial"/>
          <w:sz w:val="22"/>
          <w:szCs w:val="22"/>
        </w:rPr>
        <w:t>All</w:t>
      </w:r>
      <w:r w:rsidR="00651A74">
        <w:rPr>
          <w:rFonts w:ascii="Arial" w:hAnsi="Arial"/>
          <w:sz w:val="22"/>
          <w:szCs w:val="22"/>
        </w:rPr>
        <w:t xml:space="preserve"> costs</w:t>
      </w:r>
      <w:r w:rsidR="00603909">
        <w:rPr>
          <w:rFonts w:ascii="Arial" w:hAnsi="Arial"/>
          <w:sz w:val="22"/>
          <w:szCs w:val="22"/>
        </w:rPr>
        <w:t xml:space="preserve"> under Relevant Contracts awarded through the Onshore Tender Process.</w:t>
      </w:r>
    </w:p>
    <w:bookmarkEnd w:id="463"/>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7EF5C4A6"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Fixed BSUoS Price will be the same for all Settlement Days within the same Fixed Price Period, unless a revised Fixed BSUoS Price comes into effect as outlined in Paragraph 14.3</w:t>
      </w:r>
      <w:r w:rsidR="10E36CAF" w:rsidRPr="325E90A3">
        <w:rPr>
          <w:rFonts w:ascii="Arial (W1)" w:hAnsi="Arial (W1)"/>
          <w:sz w:val="22"/>
          <w:szCs w:val="22"/>
          <w:lang w:eastAsia="en-US"/>
        </w:rPr>
        <w:t>1</w:t>
      </w:r>
      <w:r w:rsidRPr="325E90A3">
        <w:rPr>
          <w:rFonts w:ascii="Arial (W1)" w:hAnsi="Arial (W1)"/>
          <w:sz w:val="22"/>
          <w:szCs w:val="22"/>
          <w:lang w:eastAsia="en-US"/>
        </w:rPr>
        <w:t>.1</w:t>
      </w:r>
      <w:r w:rsidR="4253C9FA" w:rsidRPr="325E90A3">
        <w:rPr>
          <w:rFonts w:ascii="Arial (W1)" w:hAnsi="Arial (W1)"/>
          <w:sz w:val="22"/>
          <w:szCs w:val="22"/>
          <w:lang w:eastAsia="en-US"/>
        </w:rPr>
        <w:t>5</w:t>
      </w:r>
      <w:r w:rsidRPr="325E90A3">
        <w:rPr>
          <w:rFonts w:ascii="Arial (W1)" w:hAnsi="Arial (W1)"/>
          <w:sz w:val="22"/>
          <w:szCs w:val="22"/>
          <w:lang w:eastAsia="en-US"/>
        </w:rPr>
        <w:t>.</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 xml:space="preserve">for a Fixed Price Period t (fBSUoSTOTt) </w:t>
      </w:r>
      <w:r>
        <w:rPr>
          <w:rFonts w:ascii="Arial (W1)" w:hAnsi="Arial (W1)"/>
          <w:sz w:val="22"/>
          <w:lang w:eastAsia="en-US"/>
        </w:rPr>
        <w:t>are</w:t>
      </w:r>
      <w:r w:rsidRPr="00625BEA">
        <w:rPr>
          <w:rFonts w:ascii="Arial (W1)" w:hAnsi="Arial (W1)"/>
          <w:sz w:val="22"/>
          <w:lang w:eastAsia="en-US"/>
        </w:rPr>
        <w:t xml:space="preserve"> calculated using the following formula:</w:t>
      </w:r>
    </w:p>
    <w:p w14:paraId="57911BF3" w14:textId="77777777" w:rsidR="007215E2" w:rsidRPr="007215E2" w:rsidRDefault="007215E2" w:rsidP="007215E2">
      <w:pPr>
        <w:ind w:left="720"/>
        <w:rPr>
          <w:rFonts w:ascii="Arial (W1)" w:hAnsi="Arial (W1)"/>
          <w:sz w:val="22"/>
          <w:lang w:eastAsia="en-US"/>
        </w:rPr>
      </w:pPr>
    </w:p>
    <w:p w14:paraId="0BEE68E9" w14:textId="7E9E8B0E" w:rsidR="3ACE47D0" w:rsidRDefault="00000000" w:rsidP="325E90A3">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r>
        <w:t>fBSUoSTOT</w:t>
      </w:r>
      <w:r w:rsidRPr="0085208F">
        <w:rPr>
          <w:vertAlign w:val="subscript"/>
        </w:rPr>
        <w:t>t</w:t>
      </w:r>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34D45F68" w:rsidR="00C95284" w:rsidRDefault="06D9DBBB" w:rsidP="00C95284">
      <w:pPr>
        <w:pStyle w:val="1"/>
        <w:ind w:left="1627"/>
        <w:jc w:val="both"/>
      </w:pPr>
      <w:r>
        <w:t>fBSUoSEXT</w:t>
      </w:r>
      <w:r w:rsidRPr="03871E98">
        <w:rPr>
          <w:vertAlign w:val="subscript"/>
        </w:rPr>
        <w:t>t</w:t>
      </w:r>
      <w:r>
        <w:t xml:space="preserve"> = forecast External BSUoS Costs. The terms which make up External BSUoS Costs are set out </w:t>
      </w:r>
      <w:r w:rsidR="58D3FBF1">
        <w:t>as term EXT</w:t>
      </w:r>
      <w:r w:rsidR="58D3FBF1" w:rsidRPr="03871E98">
        <w:rPr>
          <w:vertAlign w:val="subscript"/>
        </w:rPr>
        <w:t xml:space="preserve">t </w:t>
      </w:r>
      <w:r w:rsidR="481E28A2">
        <w:t xml:space="preserve">in part E of condition F1 of the </w:t>
      </w:r>
      <w:r w:rsidR="481E28A2" w:rsidRPr="009919C1">
        <w:rPr>
          <w:b/>
          <w:bCs/>
        </w:rPr>
        <w:t>ESO Licence</w:t>
      </w:r>
    </w:p>
    <w:p w14:paraId="50F6E41B" w14:textId="77777777" w:rsidR="00C95284" w:rsidRDefault="00C95284" w:rsidP="00C95284">
      <w:pPr>
        <w:pStyle w:val="1"/>
        <w:ind w:left="1627"/>
        <w:jc w:val="both"/>
      </w:pPr>
    </w:p>
    <w:p w14:paraId="7ED5B21F" w14:textId="525CE668" w:rsidR="00F47392" w:rsidRPr="00F47392" w:rsidRDefault="06D9DBBB" w:rsidP="00F47392">
      <w:pPr>
        <w:pStyle w:val="ListParagraph"/>
        <w:ind w:left="1627"/>
        <w:rPr>
          <w:rFonts w:ascii="Arial (W1)" w:hAnsi="Arial (W1)"/>
          <w:sz w:val="22"/>
          <w:szCs w:val="22"/>
          <w:lang w:eastAsia="en-US"/>
        </w:rPr>
      </w:pPr>
      <w:r w:rsidRPr="325E90A3">
        <w:rPr>
          <w:rFonts w:ascii="Arial (W1)" w:hAnsi="Arial (W1)"/>
          <w:sz w:val="22"/>
          <w:szCs w:val="22"/>
          <w:lang w:eastAsia="en-US"/>
        </w:rPr>
        <w:t>fBSUoSINT</w:t>
      </w:r>
      <w:r w:rsidRPr="325E90A3">
        <w:rPr>
          <w:rFonts w:ascii="Arial (W1)" w:hAnsi="Arial (W1)"/>
          <w:sz w:val="22"/>
          <w:szCs w:val="22"/>
          <w:vertAlign w:val="subscript"/>
          <w:lang w:eastAsia="en-US"/>
        </w:rPr>
        <w:t xml:space="preserve">t </w:t>
      </w:r>
      <w:r w:rsidRPr="325E90A3">
        <w:rPr>
          <w:rFonts w:ascii="Arial (W1)" w:hAnsi="Arial (W1)"/>
          <w:sz w:val="22"/>
          <w:szCs w:val="22"/>
          <w:lang w:eastAsia="en-US"/>
        </w:rPr>
        <w:t xml:space="preserve">= forecast Internal BSUoS Costs. The terms which make up Internal BSUoS Costs are set out </w:t>
      </w:r>
      <w:r w:rsidR="00F47392" w:rsidRPr="00F47392">
        <w:t xml:space="preserve"> </w:t>
      </w:r>
      <w:r w:rsidR="00F47392" w:rsidRPr="00F47392">
        <w:rPr>
          <w:rFonts w:ascii="Arial (W1)" w:hAnsi="Arial (W1)"/>
          <w:sz w:val="22"/>
          <w:szCs w:val="22"/>
          <w:lang w:eastAsia="en-US"/>
        </w:rPr>
        <w:t>as term INT</w:t>
      </w:r>
      <w:r w:rsidR="00F47392" w:rsidRPr="03871E98">
        <w:rPr>
          <w:vertAlign w:val="subscript"/>
        </w:rPr>
        <w:t>t</w:t>
      </w:r>
      <w:r w:rsidR="00F47392" w:rsidRPr="00F47392">
        <w:rPr>
          <w:rFonts w:ascii="Arial (W1)" w:hAnsi="Arial (W1)"/>
          <w:sz w:val="22"/>
          <w:szCs w:val="22"/>
          <w:lang w:eastAsia="en-US"/>
        </w:rPr>
        <w:t xml:space="preserve"> in Part D </w:t>
      </w:r>
    </w:p>
    <w:p w14:paraId="2A99B1C8" w14:textId="671F481E" w:rsidR="00C95284" w:rsidRDefault="00F47392" w:rsidP="00F47392">
      <w:pPr>
        <w:pStyle w:val="ListParagraph"/>
        <w:ind w:left="1627"/>
        <w:rPr>
          <w:rFonts w:ascii="Arial (W1)" w:hAnsi="Arial (W1)"/>
          <w:sz w:val="22"/>
          <w:szCs w:val="22"/>
          <w:lang w:eastAsia="en-US"/>
        </w:rPr>
      </w:pPr>
      <w:r w:rsidRPr="00F47392">
        <w:rPr>
          <w:rFonts w:ascii="Arial (W1)" w:hAnsi="Arial (W1)"/>
          <w:sz w:val="22"/>
          <w:szCs w:val="22"/>
          <w:lang w:eastAsia="en-US"/>
        </w:rPr>
        <w:t xml:space="preserve">of condition F1 of the </w:t>
      </w:r>
      <w:r w:rsidRPr="009919C1">
        <w:rPr>
          <w:rFonts w:ascii="Arial (W1)" w:hAnsi="Arial (W1)"/>
          <w:b/>
          <w:bCs/>
          <w:sz w:val="22"/>
          <w:szCs w:val="22"/>
          <w:lang w:eastAsia="en-US"/>
        </w:rPr>
        <w:t>ESO Licence</w:t>
      </w:r>
      <w:r w:rsidRPr="00F47392">
        <w:rPr>
          <w:rFonts w:ascii="Arial (W1)" w:hAnsi="Arial (W1)"/>
          <w:sz w:val="22"/>
          <w:szCs w:val="22"/>
          <w:lang w:eastAsia="en-US"/>
        </w:rPr>
        <w:t>.</w:t>
      </w:r>
    </w:p>
    <w:p w14:paraId="60B3D5BA" w14:textId="3435F646" w:rsidR="325E90A3" w:rsidRDefault="325E90A3" w:rsidP="325E90A3">
      <w:pPr>
        <w:pStyle w:val="ListParagraph"/>
        <w:ind w:left="1627"/>
        <w:rPr>
          <w:rFonts w:ascii="Arial (W1)" w:hAnsi="Arial (W1)"/>
          <w:sz w:val="22"/>
          <w:szCs w:val="22"/>
          <w:lang w:eastAsia="en-US"/>
        </w:rPr>
      </w:pPr>
    </w:p>
    <w:p w14:paraId="66319E0B" w14:textId="51000483" w:rsidR="41EE30FC" w:rsidRDefault="41EE30FC" w:rsidP="325E90A3">
      <w:pPr>
        <w:pStyle w:val="ListParagraph"/>
        <w:ind w:left="1627"/>
        <w:rPr>
          <w:rFonts w:ascii="Arial (W1)" w:hAnsi="Arial (W1)"/>
          <w:sz w:val="22"/>
          <w:szCs w:val="22"/>
          <w:lang w:eastAsia="en-US"/>
        </w:rPr>
      </w:pPr>
      <w:r w:rsidRPr="03871E98">
        <w:rPr>
          <w:rFonts w:ascii="Arial (W1)" w:hAnsi="Arial (W1)"/>
          <w:sz w:val="22"/>
          <w:szCs w:val="22"/>
          <w:lang w:eastAsia="en-US"/>
        </w:rPr>
        <w:t>fBSUoSRTN</w:t>
      </w:r>
      <w:r w:rsidR="00E63783" w:rsidRPr="03871E98">
        <w:rPr>
          <w:vertAlign w:val="subscript"/>
        </w:rPr>
        <w:t>t</w:t>
      </w:r>
      <w:r w:rsidRPr="03871E98">
        <w:rPr>
          <w:rFonts w:ascii="Arial (W1)" w:hAnsi="Arial (W1)"/>
          <w:sz w:val="22"/>
          <w:szCs w:val="22"/>
          <w:lang w:eastAsia="en-US"/>
        </w:rPr>
        <w:t xml:space="preserve"> = RAV Returns (as defined in the </w:t>
      </w:r>
      <w:r w:rsidRPr="009919C1">
        <w:rPr>
          <w:rFonts w:ascii="Arial (W1)" w:hAnsi="Arial (W1)"/>
          <w:b/>
          <w:bCs/>
          <w:sz w:val="22"/>
          <w:szCs w:val="22"/>
          <w:lang w:eastAsia="en-US"/>
        </w:rPr>
        <w:t>ESO Licence</w:t>
      </w:r>
      <w:r w:rsidRPr="03871E98">
        <w:rPr>
          <w:rFonts w:ascii="Arial (W1)" w:hAnsi="Arial (W1)"/>
          <w:sz w:val="22"/>
          <w:szCs w:val="22"/>
          <w:lang w:eastAsia="en-US"/>
        </w:rPr>
        <w:t xml:space="preserve">) and is set </w:t>
      </w:r>
    </w:p>
    <w:p w14:paraId="462557B0" w14:textId="08BA028A" w:rsidR="41EE30FC" w:rsidRDefault="41EE30FC" w:rsidP="009919C1">
      <w:pPr>
        <w:pStyle w:val="ListParagraph"/>
        <w:ind w:left="1627"/>
      </w:pPr>
      <w:r w:rsidRPr="03871E98">
        <w:rPr>
          <w:rFonts w:ascii="Arial (W1)" w:hAnsi="Arial (W1)"/>
          <w:sz w:val="22"/>
          <w:szCs w:val="22"/>
          <w:lang w:eastAsia="en-US"/>
        </w:rPr>
        <w:t>out as term RTN</w:t>
      </w:r>
      <w:r w:rsidR="004160D1" w:rsidRPr="03871E98">
        <w:rPr>
          <w:vertAlign w:val="subscript"/>
        </w:rPr>
        <w:t>t</w:t>
      </w:r>
      <w:r w:rsidRPr="03871E98">
        <w:rPr>
          <w:rFonts w:ascii="Arial (W1)" w:hAnsi="Arial (W1)"/>
          <w:sz w:val="22"/>
          <w:szCs w:val="22"/>
          <w:lang w:eastAsia="en-US"/>
        </w:rPr>
        <w:t xml:space="preserve"> in Part F of condition F1 of the </w:t>
      </w:r>
      <w:r w:rsidRPr="009919C1">
        <w:rPr>
          <w:rFonts w:ascii="Arial (W1)" w:hAnsi="Arial (W1)"/>
          <w:b/>
          <w:bCs/>
          <w:sz w:val="22"/>
          <w:szCs w:val="22"/>
          <w:lang w:eastAsia="en-US"/>
        </w:rPr>
        <w:t>ESO Licence</w:t>
      </w:r>
      <w:r w:rsidRPr="03871E98">
        <w:rPr>
          <w:rFonts w:ascii="Arial (W1)" w:hAnsi="Arial (W1)"/>
          <w:sz w:val="22"/>
          <w:szCs w:val="22"/>
          <w:lang w:eastAsia="en-US"/>
        </w:rPr>
        <w:t>.</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kb</w:t>
      </w:r>
      <w:r>
        <w:rPr>
          <w:rFonts w:ascii="Arial (W1)" w:hAnsi="Arial (W1)"/>
          <w:sz w:val="22"/>
          <w:vertAlign w:val="subscript"/>
          <w:lang w:eastAsia="en-US"/>
        </w:rPr>
        <w:t xml:space="preserve">t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0D8ABC75"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amount included to account for over or under recovery, described in Paragraph 14.3</w:t>
      </w:r>
      <w:r w:rsidR="3AAE6F47" w:rsidRPr="325E90A3">
        <w:rPr>
          <w:rFonts w:ascii="Arial (W1)" w:hAnsi="Arial (W1)"/>
          <w:sz w:val="22"/>
          <w:szCs w:val="22"/>
          <w:lang w:eastAsia="en-US"/>
        </w:rPr>
        <w:t>1</w:t>
      </w:r>
      <w:r w:rsidRPr="325E90A3">
        <w:rPr>
          <w:rFonts w:ascii="Arial (W1)" w:hAnsi="Arial (W1)"/>
          <w:sz w:val="22"/>
          <w:szCs w:val="22"/>
          <w:lang w:eastAsia="en-US"/>
        </w:rPr>
        <w:t>.4,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w:t>
      </w:r>
      <w:r w:rsidR="66B667C8" w:rsidRPr="325E90A3">
        <w:rPr>
          <w:rFonts w:ascii="Arial (W1)" w:hAnsi="Arial (W1)"/>
          <w:sz w:val="22"/>
          <w:szCs w:val="22"/>
          <w:lang w:eastAsia="en-US"/>
        </w:rPr>
        <w:t>1</w:t>
      </w:r>
      <w:r w:rsidRPr="325E90A3">
        <w:rPr>
          <w:rFonts w:ascii="Arial (W1)" w:hAnsi="Arial (W1)"/>
          <w:sz w:val="22"/>
          <w:szCs w:val="22"/>
          <w:lang w:eastAsia="en-US"/>
        </w:rPr>
        <w:t>.4, for those same Fixed Price Periods prior to Fixed Price Period t. This is inclusive of any revenue collected from Final Reconciliation (RF) BSUoS Charges, pursuant to Paragraph 14.3</w:t>
      </w:r>
      <w:r w:rsidR="132A49C6" w:rsidRPr="325E90A3">
        <w:rPr>
          <w:rFonts w:ascii="Arial (W1)" w:hAnsi="Arial (W1)"/>
          <w:sz w:val="22"/>
          <w:szCs w:val="22"/>
          <w:lang w:eastAsia="en-US"/>
        </w:rPr>
        <w:t>2</w:t>
      </w:r>
      <w:r w:rsidRPr="325E90A3">
        <w:rPr>
          <w:rFonts w:ascii="Arial (W1)" w:hAnsi="Arial (W1)"/>
          <w:sz w:val="22"/>
          <w:szCs w:val="22"/>
          <w:lang w:eastAsia="en-US"/>
        </w:rPr>
        <w:t>.4.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1E6C9099"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process described in Paragraph 14.</w:t>
      </w:r>
      <w:r w:rsidR="35406D62" w:rsidRPr="325E90A3">
        <w:rPr>
          <w:rFonts w:ascii="Arial (W1)" w:hAnsi="Arial (W1)"/>
          <w:sz w:val="22"/>
          <w:szCs w:val="22"/>
          <w:lang w:eastAsia="en-US"/>
        </w:rPr>
        <w:t>31</w:t>
      </w:r>
      <w:r w:rsidRPr="325E90A3">
        <w:rPr>
          <w:rFonts w:ascii="Arial (W1)" w:hAnsi="Arial (W1)"/>
          <w:sz w:val="22"/>
          <w:szCs w:val="22"/>
          <w:lang w:eastAsia="en-US"/>
        </w:rPr>
        <w:t>.5 does not apply to Final Reconciliation (RF) BSUoS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000000"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r>
        <w:t>FixedBSUoSP</w:t>
      </w:r>
      <w:r w:rsidRPr="00376AE1">
        <w:rPr>
          <w:vertAlign w:val="subscript"/>
        </w:rPr>
        <w:t xml:space="preserve">t </w:t>
      </w:r>
      <w:r>
        <w:t>= the Fixed BSUoS Price for the Fixed Price Period t</w:t>
      </w:r>
    </w:p>
    <w:p w14:paraId="1624F03E" w14:textId="77777777" w:rsidR="00C95284" w:rsidRDefault="00C95284" w:rsidP="00C95284">
      <w:pPr>
        <w:pStyle w:val="1"/>
        <w:ind w:left="1627"/>
        <w:jc w:val="both"/>
      </w:pPr>
      <w:r>
        <w:t>fBSUoSTOT</w:t>
      </w:r>
      <w:r w:rsidRPr="00376AE1">
        <w:rPr>
          <w:vertAlign w:val="subscript"/>
        </w:rPr>
        <w:t>t</w:t>
      </w:r>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r>
        <w:t>fTQM</w:t>
      </w:r>
      <w:r w:rsidRPr="00376AE1">
        <w:rPr>
          <w:vertAlign w:val="subscript"/>
        </w:rPr>
        <w:t>t</w:t>
      </w:r>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r>
        <w:t>fSGQM</w:t>
      </w:r>
      <w:r w:rsidRPr="00376AE1">
        <w:rPr>
          <w:vertAlign w:val="subscript"/>
        </w:rPr>
        <w:t>t</w:t>
      </w:r>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40B87FBF"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 xml:space="preserve">are given a notice period of at least </w:t>
      </w:r>
      <w:r w:rsidR="002B2B74">
        <w:rPr>
          <w:rFonts w:ascii="Arial (W1)" w:hAnsi="Arial (W1)"/>
          <w:sz w:val="22"/>
          <w:lang w:eastAsia="en-US"/>
        </w:rPr>
        <w:t>three</w:t>
      </w:r>
      <w:r w:rsidRPr="00BA6E47">
        <w:rPr>
          <w:rFonts w:ascii="Arial (W1)" w:hAnsi="Arial (W1)"/>
          <w:sz w:val="22"/>
          <w:lang w:eastAsia="en-US"/>
        </w:rPr>
        <w:t xml:space="preserv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BM Units</w:t>
      </w:r>
    </w:p>
    <w:p w14:paraId="4A2AC400" w14:textId="77777777" w:rsidR="00C95284" w:rsidRPr="0085208F" w:rsidRDefault="00C95284" w:rsidP="325E90A3">
      <w:pPr>
        <w:pStyle w:val="ListParagraph"/>
        <w:rPr>
          <w:rFonts w:ascii="Arial (W1)" w:hAnsi="Arial (W1)"/>
          <w:sz w:val="22"/>
          <w:szCs w:val="22"/>
          <w:lang w:eastAsia="en-US"/>
        </w:rPr>
      </w:pPr>
    </w:p>
    <w:p w14:paraId="65ADFFFA"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325E90A3">
      <w:pPr>
        <w:pStyle w:val="ListParagraph"/>
        <w:rPr>
          <w:rFonts w:ascii="Arial (W1)" w:hAnsi="Arial (W1)"/>
          <w:sz w:val="22"/>
          <w:szCs w:val="22"/>
          <w:lang w:eastAsia="en-US"/>
        </w:rPr>
      </w:pPr>
    </w:p>
    <w:p w14:paraId="013B9FEA" w14:textId="2476F49D" w:rsidR="00C95284" w:rsidRPr="00D66F37" w:rsidRDefault="00910880"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Suppli</w:t>
      </w:r>
      <w:r>
        <w:rPr>
          <w:rFonts w:ascii="Arial (W1)" w:hAnsi="Arial (W1)"/>
          <w:sz w:val="22"/>
          <w:szCs w:val="22"/>
          <w:lang w:eastAsia="en-US"/>
        </w:rPr>
        <w:t>e</w:t>
      </w:r>
      <w:r w:rsidRPr="325E90A3">
        <w:rPr>
          <w:rFonts w:ascii="Arial (W1)" w:hAnsi="Arial (W1)"/>
          <w:sz w:val="22"/>
          <w:szCs w:val="22"/>
          <w:lang w:eastAsia="en-US"/>
        </w:rPr>
        <w:t>r</w:t>
      </w:r>
      <w:r w:rsidR="00C95284" w:rsidRPr="325E90A3">
        <w:rPr>
          <w:rFonts w:ascii="Arial (W1)" w:hAnsi="Arial (W1)"/>
          <w:sz w:val="22"/>
          <w:szCs w:val="22"/>
          <w:lang w:eastAsia="en-US"/>
        </w:rPr>
        <w:t xml:space="preserve"> BM Units and Exempt Export BM Units, prefixed by i, have their Total BSUoS Charges calculated by the following formula:</w:t>
      </w:r>
    </w:p>
    <w:p w14:paraId="67728349" w14:textId="77777777" w:rsidR="00C95284" w:rsidRDefault="00C95284" w:rsidP="325E90A3">
      <w:pPr>
        <w:pStyle w:val="ListParagraph"/>
        <w:ind w:left="1627"/>
        <w:rPr>
          <w:rFonts w:ascii="Arial (W1)" w:hAnsi="Arial (W1)"/>
          <w:sz w:val="22"/>
          <w:szCs w:val="22"/>
          <w:lang w:eastAsia="en-US"/>
        </w:rPr>
      </w:pPr>
    </w:p>
    <w:p w14:paraId="13B25D30" w14:textId="48A9DEB3" w:rsidR="00970A62" w:rsidRDefault="0000000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2F2378F7" w14:textId="429C2E10" w:rsidR="00C95284" w:rsidRPr="008A41B4" w:rsidRDefault="00C95284" w:rsidP="009919C1">
      <w:pPr>
        <w:ind w:left="2160" w:firstLine="720"/>
      </w:pPr>
    </w:p>
    <w:p w14:paraId="7EE45AD1" w14:textId="1D2B79FE"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r w:rsidR="00970A62">
        <w:rPr>
          <w:rFonts w:ascii="Arial (W1)" w:hAnsi="Arial (W1)"/>
          <w:sz w:val="22"/>
          <w:szCs w:val="22"/>
          <w:lang w:eastAsia="en-US"/>
        </w:rPr>
        <w:t xml:space="preserve"> </w:t>
      </w:r>
      <w:r w:rsidR="00970A62" w:rsidRPr="00970A62">
        <w:rPr>
          <w:rFonts w:ascii="Cambria Math" w:hAnsi="Cambria Math"/>
          <w:i/>
          <w:sz w:val="22"/>
          <w:lang w:eastAsia="en-US"/>
        </w:rPr>
        <w:br/>
      </w:r>
    </w:p>
    <w:p w14:paraId="197D01E2" w14:textId="77777777" w:rsidR="00C95284" w:rsidRPr="00786BBB" w:rsidRDefault="00C95284" w:rsidP="325E90A3">
      <w:pPr>
        <w:pStyle w:val="ListParagraph"/>
        <w:ind w:left="1627"/>
        <w:rPr>
          <w:rFonts w:ascii="Arial (W1)" w:hAnsi="Arial (W1)"/>
          <w:sz w:val="22"/>
          <w:szCs w:val="22"/>
          <w:lang w:eastAsia="en-US"/>
        </w:rPr>
      </w:pPr>
    </w:p>
    <w:p w14:paraId="6BBDFB9D"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726A9EEF" w14:textId="77777777" w:rsidR="00C95284" w:rsidRPr="00786BBB" w:rsidRDefault="00C95284" w:rsidP="325E90A3">
      <w:pPr>
        <w:pStyle w:val="ListParagraph"/>
        <w:ind w:left="1627"/>
        <w:rPr>
          <w:rFonts w:ascii="Arial (W1)" w:hAnsi="Arial (W1)"/>
          <w:sz w:val="22"/>
          <w:szCs w:val="22"/>
          <w:lang w:eastAsia="en-US"/>
        </w:rPr>
      </w:pPr>
    </w:p>
    <w:p w14:paraId="7F601C0C"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w:t>
      </w:r>
      <w:r w:rsidRPr="325E90A3">
        <w:rPr>
          <w:rFonts w:ascii="Arial (W1)" w:hAnsi="Arial (W1)"/>
          <w:sz w:val="22"/>
          <w:szCs w:val="22"/>
          <w:vertAlign w:val="subscript"/>
          <w:lang w:eastAsia="en-US"/>
        </w:rPr>
        <w:t xml:space="preserve">d </w:t>
      </w:r>
      <w:r w:rsidRPr="325E90A3">
        <w:rPr>
          <w:rFonts w:ascii="Arial (W1)" w:hAnsi="Arial (W1)"/>
          <w:sz w:val="22"/>
          <w:szCs w:val="22"/>
          <w:lang w:eastAsia="en-US"/>
        </w:rPr>
        <w:t xml:space="preserve">= the Fixed BSUoS Price on Settlement Day d. </w:t>
      </w:r>
    </w:p>
    <w:p w14:paraId="252107D9" w14:textId="77777777" w:rsidR="00C95284" w:rsidRPr="00786BBB" w:rsidRDefault="00C95284" w:rsidP="325E90A3">
      <w:pPr>
        <w:pStyle w:val="ListParagraph"/>
        <w:ind w:left="1627"/>
        <w:rPr>
          <w:rFonts w:ascii="Arial (W1)" w:hAnsi="Arial (W1)"/>
          <w:sz w:val="22"/>
          <w:szCs w:val="22"/>
          <w:lang w:eastAsia="en-US"/>
        </w:rPr>
      </w:pPr>
    </w:p>
    <w:p w14:paraId="7F36E3AC"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SGQM</w:t>
      </w:r>
      <w:r w:rsidRPr="325E90A3">
        <w:rPr>
          <w:rFonts w:ascii="Arial (W1)" w:hAnsi="Arial (W1)"/>
          <w:sz w:val="22"/>
          <w:szCs w:val="22"/>
          <w:vertAlign w:val="subscript"/>
          <w:lang w:eastAsia="en-US"/>
        </w:rPr>
        <w:t>ij</w:t>
      </w:r>
      <w:r w:rsidRPr="325E90A3">
        <w:rPr>
          <w:rFonts w:ascii="Arial (W1)" w:hAnsi="Arial (W1)"/>
          <w:sz w:val="22"/>
          <w:szCs w:val="22"/>
          <w:lang w:eastAsia="en-US"/>
        </w:rPr>
        <w:t xml:space="preserve"> = the Gross Demand Supplier or Exempt Export BM Unit Volume for a Supplier or Exempt Export BM Unit i for Settlement Period j</w:t>
      </w:r>
    </w:p>
    <w:p w14:paraId="77C94780" w14:textId="77777777" w:rsidR="00C95284" w:rsidRPr="0085208F" w:rsidRDefault="00C95284" w:rsidP="325E90A3">
      <w:pPr>
        <w:pStyle w:val="ListParagraph"/>
        <w:rPr>
          <w:rFonts w:ascii="Arial (W1)" w:hAnsi="Arial (W1)"/>
          <w:sz w:val="22"/>
          <w:szCs w:val="22"/>
          <w:lang w:eastAsia="en-US"/>
        </w:rPr>
      </w:pPr>
    </w:p>
    <w:p w14:paraId="7FC8E9D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All Transmission Connected BM Units, prefixed by m, have their Total BSUoS Charges calculated by the following formula:</w:t>
      </w:r>
    </w:p>
    <w:p w14:paraId="59BEDB8E" w14:textId="77777777" w:rsidR="00C95284" w:rsidRDefault="00C95284" w:rsidP="325E90A3">
      <w:pPr>
        <w:rPr>
          <w:rFonts w:ascii="Arial (W1)" w:hAnsi="Arial (W1)"/>
          <w:sz w:val="22"/>
          <w:szCs w:val="22"/>
          <w:lang w:eastAsia="en-US"/>
        </w:rPr>
      </w:pPr>
    </w:p>
    <w:p w14:paraId="09F9AE55" w14:textId="37E2AD1C" w:rsidR="00C95284" w:rsidRPr="008A41B4" w:rsidRDefault="00000000" w:rsidP="325E90A3">
      <w:pPr>
        <w:pStyle w:val="ListParagraph"/>
        <w:ind w:left="1627"/>
        <w:jc w:val="cente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34BFF685" w14:textId="77777777" w:rsidR="00C95284" w:rsidRPr="00D6554D" w:rsidRDefault="00C95284" w:rsidP="325E90A3">
      <w:pPr>
        <w:pStyle w:val="ListParagraph"/>
        <w:ind w:left="1627"/>
        <w:rPr>
          <w:rFonts w:ascii="Arial (W1)" w:hAnsi="Arial (W1)"/>
          <w:sz w:val="22"/>
          <w:szCs w:val="22"/>
          <w:lang w:eastAsia="en-US"/>
        </w:rPr>
      </w:pPr>
    </w:p>
    <w:p w14:paraId="4361100D"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BSUoSTOTmd = the Total BSUoS Charges for a Transmission Connected BM Unit m on Settlement Day d</w:t>
      </w:r>
    </w:p>
    <w:p w14:paraId="7DB1A45A" w14:textId="77777777" w:rsidR="00C95284" w:rsidRPr="00D66F37" w:rsidRDefault="00C95284" w:rsidP="325E90A3">
      <w:pPr>
        <w:pStyle w:val="ListParagraph"/>
        <w:ind w:left="1627"/>
        <w:rPr>
          <w:rFonts w:ascii="Arial (W1)" w:hAnsi="Arial (W1)"/>
          <w:sz w:val="22"/>
          <w:szCs w:val="22"/>
          <w:lang w:eastAsia="en-US"/>
        </w:rPr>
      </w:pPr>
    </w:p>
    <w:p w14:paraId="22FB0489"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FixedBSUoSPd = the Fixed BSUoS Price on Settlement Day d. </w:t>
      </w:r>
    </w:p>
    <w:p w14:paraId="12E9CEB8" w14:textId="77777777" w:rsidR="00C95284" w:rsidRPr="00D66F37" w:rsidRDefault="00C95284" w:rsidP="325E90A3">
      <w:pPr>
        <w:pStyle w:val="ListParagraph"/>
        <w:ind w:left="1627"/>
        <w:rPr>
          <w:rFonts w:ascii="Arial (W1)" w:hAnsi="Arial (W1)"/>
          <w:sz w:val="22"/>
          <w:szCs w:val="22"/>
          <w:lang w:eastAsia="en-US"/>
        </w:rPr>
      </w:pPr>
    </w:p>
    <w:p w14:paraId="2EAC1F3E" w14:textId="77777777" w:rsidR="00C95284" w:rsidRPr="00D6554D"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TQMmj = the total Transmission Connected Site BM Unit Metered Volume for a Transmission Connected BM Unit m for Settlement Period j</w:t>
      </w:r>
    </w:p>
    <w:p w14:paraId="1C37626B" w14:textId="77777777" w:rsidR="00C95284" w:rsidRDefault="00C95284" w:rsidP="325E90A3">
      <w:pPr>
        <w:rPr>
          <w:rFonts w:ascii="Arial (W1)" w:hAnsi="Arial (W1)"/>
          <w:sz w:val="22"/>
          <w:szCs w:val="22"/>
          <w:lang w:eastAsia="en-US"/>
        </w:rPr>
      </w:pPr>
    </w:p>
    <w:p w14:paraId="13C774FF"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a BSUoS liable customer</w:t>
      </w:r>
    </w:p>
    <w:p w14:paraId="65E0111C" w14:textId="77777777" w:rsidR="00C95284" w:rsidRPr="0085208F" w:rsidRDefault="00C95284" w:rsidP="325E90A3">
      <w:pPr>
        <w:pStyle w:val="ListParagraph"/>
        <w:rPr>
          <w:rFonts w:ascii="Arial (W1)" w:hAnsi="Arial (W1)"/>
          <w:sz w:val="22"/>
          <w:szCs w:val="22"/>
          <w:lang w:eastAsia="en-US"/>
        </w:rPr>
      </w:pPr>
    </w:p>
    <w:p w14:paraId="5FFD3B08"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BSUoS Charges for a BSUoS liable customer c on a Settlement Day d will be calculated by the following formula: </w:t>
      </w:r>
    </w:p>
    <w:p w14:paraId="73091156" w14:textId="77777777" w:rsidR="009828F6" w:rsidRPr="009828F6" w:rsidRDefault="009828F6" w:rsidP="009828F6">
      <w:pPr>
        <w:ind w:left="720"/>
        <w:rPr>
          <w:rFonts w:ascii="Arial (W1)" w:hAnsi="Arial (W1)"/>
          <w:sz w:val="22"/>
          <w:szCs w:val="22"/>
          <w:lang w:eastAsia="en-US"/>
        </w:rPr>
      </w:pPr>
    </w:p>
    <w:p w14:paraId="10CE9646" w14:textId="7DFD05F6" w:rsidR="00C95284" w:rsidRDefault="0000000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i,m∈c</m:t>
              </m:r>
            </m:sub>
            <m:sup/>
            <m:e>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6067B247" w14:textId="24655E8F" w:rsidR="00C95284" w:rsidRPr="008A41B4" w:rsidRDefault="00C95284" w:rsidP="325E90A3">
      <w:pPr>
        <w:ind w:left="2160"/>
        <w:jc w:val="center"/>
      </w:pPr>
    </w:p>
    <w:p w14:paraId="7CD6C61B"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Where: </w:t>
      </w:r>
    </w:p>
    <w:p w14:paraId="567AFF41" w14:textId="77777777" w:rsidR="00C95284" w:rsidRDefault="00C95284" w:rsidP="325E90A3">
      <w:pPr>
        <w:pStyle w:val="ListParagraph"/>
        <w:ind w:left="1627"/>
        <w:rPr>
          <w:rFonts w:ascii="Arial (W1)" w:hAnsi="Arial (W1)"/>
          <w:sz w:val="22"/>
          <w:szCs w:val="22"/>
          <w:lang w:eastAsia="en-US"/>
        </w:rPr>
      </w:pPr>
    </w:p>
    <w:p w14:paraId="479F4DC9"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 xml:space="preserve">cd </w:t>
      </w:r>
      <w:r w:rsidRPr="325E90A3">
        <w:rPr>
          <w:rFonts w:ascii="Arial (W1)" w:hAnsi="Arial (W1)"/>
          <w:sz w:val="22"/>
          <w:szCs w:val="22"/>
          <w:lang w:eastAsia="en-US"/>
        </w:rPr>
        <w:t>= the Total BSUoS Charges for a BSUoS liable customer c on Settlement Day d</w:t>
      </w:r>
    </w:p>
    <w:p w14:paraId="4577E472" w14:textId="77777777" w:rsidR="00C95284" w:rsidRDefault="00C95284" w:rsidP="325E90A3">
      <w:pPr>
        <w:pStyle w:val="ListParagraph"/>
        <w:ind w:left="1627"/>
        <w:rPr>
          <w:rFonts w:ascii="Arial (W1)" w:hAnsi="Arial (W1)"/>
          <w:sz w:val="22"/>
          <w:szCs w:val="22"/>
          <w:lang w:eastAsia="en-US"/>
        </w:rPr>
      </w:pPr>
    </w:p>
    <w:p w14:paraId="2383CDBF"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1278D42F" w14:textId="77777777" w:rsidR="00C95284" w:rsidRDefault="00C95284" w:rsidP="325E90A3">
      <w:pPr>
        <w:pStyle w:val="ListParagraph"/>
        <w:ind w:left="1627"/>
        <w:rPr>
          <w:rFonts w:ascii="Arial (W1)" w:hAnsi="Arial (W1)"/>
          <w:sz w:val="22"/>
          <w:szCs w:val="22"/>
          <w:lang w:eastAsia="en-US"/>
        </w:rPr>
      </w:pPr>
    </w:p>
    <w:p w14:paraId="4070C09A"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md</w:t>
      </w:r>
      <w:r w:rsidRPr="325E90A3">
        <w:rPr>
          <w:rFonts w:ascii="Arial (W1)" w:hAnsi="Arial (W1)"/>
          <w:sz w:val="22"/>
          <w:szCs w:val="22"/>
          <w:lang w:eastAsia="en-US"/>
        </w:rPr>
        <w:t xml:space="preserve"> = the Total BSUoS Charges for a Transmission Connected BM Unit m on Settlement Day d</w:t>
      </w:r>
    </w:p>
    <w:p w14:paraId="4099B042" w14:textId="77777777" w:rsidR="00C95284" w:rsidRPr="0085208F" w:rsidRDefault="00C95284" w:rsidP="325E90A3">
      <w:pPr>
        <w:rPr>
          <w:rFonts w:ascii="Arial (W1)" w:hAnsi="Arial (W1)"/>
          <w:sz w:val="22"/>
          <w:szCs w:val="22"/>
          <w:lang w:eastAsia="en-US"/>
        </w:rPr>
      </w:pPr>
    </w:p>
    <w:p w14:paraId="630BA56C" w14:textId="77777777" w:rsidR="00C95284" w:rsidRPr="0085208F" w:rsidRDefault="00C95284" w:rsidP="325E90A3">
      <w:pPr>
        <w:pStyle w:val="1"/>
        <w:jc w:val="both"/>
        <w:rPr>
          <w:rFonts w:ascii="Arial Bold" w:hAnsi="Arial Bold"/>
          <w:b/>
          <w:bCs/>
          <w:color w:val="008080"/>
        </w:rPr>
      </w:pPr>
      <w:r w:rsidRPr="325E90A3">
        <w:rPr>
          <w:rFonts w:ascii="Arial Bold" w:hAnsi="Arial Bold"/>
          <w:b/>
          <w:bCs/>
          <w:color w:val="008080"/>
        </w:rPr>
        <w:t>Definition of the BSUoS charging base</w:t>
      </w:r>
    </w:p>
    <w:p w14:paraId="50D60B15" w14:textId="77777777" w:rsidR="00C95284" w:rsidRPr="0085208F" w:rsidRDefault="00C95284" w:rsidP="325E90A3">
      <w:pPr>
        <w:pStyle w:val="ListParagraph"/>
        <w:rPr>
          <w:rFonts w:ascii="Arial (W1)" w:hAnsi="Arial (W1)"/>
          <w:sz w:val="22"/>
          <w:szCs w:val="22"/>
          <w:lang w:eastAsia="en-US"/>
        </w:rPr>
      </w:pPr>
    </w:p>
    <w:p w14:paraId="3E73FF38"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XBSUoS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and Trading Units associated with Interconnectors, including those associated with the Interconnector Error Administrator, are not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325E90A3">
      <w:pPr>
        <w:pStyle w:val="1"/>
        <w:jc w:val="both"/>
        <w:rPr>
          <w:rFonts w:ascii="Arial Bold" w:hAnsi="Arial Bold"/>
          <w:b/>
          <w:bCs/>
          <w:color w:val="008080"/>
        </w:rPr>
      </w:pPr>
      <w:r w:rsidRPr="325E90A3">
        <w:rPr>
          <w:rFonts w:ascii="Arial Bold" w:hAnsi="Arial Bold"/>
          <w:b/>
          <w:bCs/>
          <w:color w:val="008080"/>
        </w:rPr>
        <w:t>Issuing a revised Fixed BSUoS Price</w:t>
      </w:r>
    </w:p>
    <w:p w14:paraId="5979D801" w14:textId="77777777" w:rsidR="00C95284" w:rsidRPr="0085208F" w:rsidRDefault="00C95284" w:rsidP="325E90A3">
      <w:pPr>
        <w:pStyle w:val="1"/>
        <w:jc w:val="both"/>
        <w:rPr>
          <w:rFonts w:ascii="Arial Bold" w:hAnsi="Arial Bold"/>
          <w:b/>
          <w:bCs/>
          <w:color w:val="008080"/>
        </w:rPr>
      </w:pPr>
    </w:p>
    <w:p w14:paraId="3260885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325E90A3">
      <w:pPr>
        <w:pStyle w:val="ListParagraph"/>
        <w:ind w:left="1627"/>
        <w:rPr>
          <w:rFonts w:ascii="Arial (W1)" w:hAnsi="Arial (W1)"/>
          <w:sz w:val="22"/>
          <w:szCs w:val="22"/>
          <w:lang w:eastAsia="en-US"/>
        </w:rPr>
      </w:pPr>
    </w:p>
    <w:p w14:paraId="6C404031"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1A137EE5"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revised Fixed BSUoS Price, described in Paragraph 14.3</w:t>
      </w:r>
      <w:r w:rsidR="00EB62F1">
        <w:rPr>
          <w:rFonts w:ascii="Arial (W1)" w:hAnsi="Arial (W1)"/>
          <w:sz w:val="22"/>
          <w:szCs w:val="22"/>
          <w:lang w:eastAsia="en-US"/>
        </w:rPr>
        <w:t>1</w:t>
      </w:r>
      <w:r w:rsidRPr="325E90A3">
        <w:rPr>
          <w:rFonts w:ascii="Arial (W1)" w:hAnsi="Arial (W1)"/>
          <w:sz w:val="22"/>
          <w:szCs w:val="22"/>
          <w:lang w:eastAsia="en-US"/>
        </w:rPr>
        <w:t>.1</w:t>
      </w:r>
      <w:r w:rsidR="00EB62F1">
        <w:rPr>
          <w:rFonts w:ascii="Arial (W1)" w:hAnsi="Arial (W1)"/>
          <w:sz w:val="22"/>
          <w:szCs w:val="22"/>
          <w:lang w:eastAsia="en-US"/>
        </w:rPr>
        <w:t>5</w:t>
      </w:r>
      <w:r w:rsidRPr="325E90A3">
        <w:rPr>
          <w:rFonts w:ascii="Arial (W1)" w:hAnsi="Arial (W1)"/>
          <w:sz w:val="22"/>
          <w:szCs w:val="22"/>
          <w:lang w:eastAsia="en-US"/>
        </w:rPr>
        <w:t>, is determined by the following formula:</w:t>
      </w:r>
    </w:p>
    <w:p w14:paraId="64B88D75" w14:textId="77777777" w:rsidR="0090277D" w:rsidRPr="0090277D" w:rsidRDefault="0090277D" w:rsidP="0090277D">
      <w:pPr>
        <w:pStyle w:val="ListParagraph"/>
        <w:rPr>
          <w:rFonts w:ascii="Arial (W1)" w:hAnsi="Arial (W1)"/>
          <w:sz w:val="22"/>
          <w:szCs w:val="22"/>
          <w:lang w:eastAsia="en-US"/>
        </w:rPr>
      </w:pPr>
    </w:p>
    <w:p w14:paraId="0E2E7DFB" w14:textId="17160826" w:rsidR="00C95284" w:rsidRPr="008A41B4" w:rsidRDefault="00000000" w:rsidP="325E90A3">
      <w:pPr>
        <w:ind w:left="2160" w:firstLine="720"/>
        <w:jc w:val="cente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464"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464"/>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5EDB1DE0" w14:textId="77777777" w:rsidR="0090277D" w:rsidRDefault="0090277D" w:rsidP="325E90A3">
      <w:pPr>
        <w:pStyle w:val="ListParagraph"/>
        <w:ind w:left="1627"/>
        <w:rPr>
          <w:rFonts w:ascii="Arial (W1)" w:hAnsi="Arial (W1)"/>
          <w:sz w:val="22"/>
          <w:szCs w:val="22"/>
          <w:lang w:eastAsia="en-US"/>
        </w:rPr>
      </w:pPr>
    </w:p>
    <w:p w14:paraId="28A3B04C" w14:textId="2E7BCFAE"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2AAF0A3C" w14:textId="77777777" w:rsidR="00C95284" w:rsidRPr="00866282" w:rsidRDefault="00C95284" w:rsidP="325E90A3">
      <w:pPr>
        <w:pStyle w:val="ListParagraph"/>
        <w:ind w:left="1627"/>
        <w:rPr>
          <w:rFonts w:ascii="Arial (W1)" w:hAnsi="Arial (W1)"/>
          <w:sz w:val="22"/>
          <w:szCs w:val="22"/>
          <w:lang w:eastAsia="en-US"/>
        </w:rPr>
      </w:pPr>
    </w:p>
    <w:p w14:paraId="1828633C"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FixedBSUoSPrev</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The revised Fixed BSUoS Price for the number of Settlement Days s remaining in the Fixed Price Period</w:t>
      </w:r>
    </w:p>
    <w:p w14:paraId="6073BA8E" w14:textId="77777777" w:rsidR="00C95284" w:rsidRPr="00866282" w:rsidRDefault="00C95284" w:rsidP="325E90A3">
      <w:pPr>
        <w:pStyle w:val="ListParagraph"/>
        <w:ind w:left="1627"/>
        <w:rPr>
          <w:rFonts w:ascii="Arial (W1)" w:hAnsi="Arial (W1)"/>
          <w:sz w:val="22"/>
          <w:szCs w:val="22"/>
          <w:lang w:eastAsia="en-US"/>
        </w:rPr>
      </w:pPr>
    </w:p>
    <w:p w14:paraId="52C8B78C" w14:textId="679CE55F"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fBSUoSTOT</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remaining balancing costs for the number of Settlement Days s remaining in the Fixed Price Period. The Company would use reasonable endeavours to consult on this value, pursuant to Paragraph 14.3</w:t>
      </w:r>
      <w:r w:rsidR="00D67CE5">
        <w:rPr>
          <w:rFonts w:ascii="Arial (W1)" w:hAnsi="Arial (W1)"/>
          <w:sz w:val="22"/>
          <w:szCs w:val="22"/>
          <w:lang w:eastAsia="en-US"/>
        </w:rPr>
        <w:t>1</w:t>
      </w:r>
      <w:r w:rsidRPr="325E90A3">
        <w:rPr>
          <w:rFonts w:ascii="Arial (W1)" w:hAnsi="Arial (W1)"/>
          <w:sz w:val="22"/>
          <w:szCs w:val="22"/>
          <w:lang w:eastAsia="en-US"/>
        </w:rPr>
        <w:t>.1</w:t>
      </w:r>
      <w:r w:rsidR="00D67CE5">
        <w:rPr>
          <w:rFonts w:ascii="Arial (W1)" w:hAnsi="Arial (W1)"/>
          <w:sz w:val="22"/>
          <w:szCs w:val="22"/>
          <w:lang w:eastAsia="en-US"/>
        </w:rPr>
        <w:t>6</w:t>
      </w:r>
      <w:r w:rsidRPr="325E90A3">
        <w:rPr>
          <w:rFonts w:ascii="Arial (W1)" w:hAnsi="Arial (W1)"/>
          <w:sz w:val="22"/>
          <w:szCs w:val="22"/>
          <w:lang w:eastAsia="en-US"/>
        </w:rPr>
        <w:t xml:space="preserve">. </w:t>
      </w:r>
    </w:p>
    <w:p w14:paraId="79364727" w14:textId="77777777" w:rsidR="00C95284" w:rsidRPr="00866282" w:rsidRDefault="00C95284" w:rsidP="325E90A3">
      <w:pPr>
        <w:pStyle w:val="ListParagraph"/>
        <w:ind w:left="1627"/>
        <w:rPr>
          <w:rFonts w:ascii="Arial (W1)" w:hAnsi="Arial (W1)"/>
          <w:sz w:val="22"/>
          <w:szCs w:val="22"/>
          <w:lang w:eastAsia="en-US"/>
        </w:rPr>
      </w:pPr>
    </w:p>
    <w:p w14:paraId="3254A672"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fTQM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325E90A3">
      <w:pPr>
        <w:pStyle w:val="ListParagraph"/>
        <w:ind w:left="1627"/>
        <w:rPr>
          <w:rFonts w:ascii="Arial (W1)" w:hAnsi="Arial (W1)"/>
          <w:sz w:val="22"/>
          <w:szCs w:val="22"/>
          <w:lang w:eastAsia="en-US"/>
        </w:rPr>
      </w:pPr>
    </w:p>
    <w:p w14:paraId="3F0DEAFB"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fSGQM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54EB8080"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Pursuant to Paragraph 14.3</w:t>
      </w:r>
      <w:r w:rsidR="00EB62F1">
        <w:rPr>
          <w:rFonts w:ascii="Arial (W1)" w:hAnsi="Arial (W1)"/>
          <w:sz w:val="22"/>
          <w:szCs w:val="22"/>
          <w:lang w:eastAsia="en-US"/>
        </w:rPr>
        <w:t xml:space="preserve"> 1</w:t>
      </w:r>
      <w:r w:rsidRPr="325E90A3">
        <w:rPr>
          <w:rFonts w:ascii="Arial (W1)" w:hAnsi="Arial (W1)"/>
          <w:sz w:val="22"/>
          <w:szCs w:val="22"/>
          <w:lang w:eastAsia="en-US"/>
        </w:rPr>
        <w:t>.</w:t>
      </w:r>
      <w:r w:rsidR="00D67CE5">
        <w:rPr>
          <w:rFonts w:ascii="Arial (W1)" w:hAnsi="Arial (W1)"/>
          <w:sz w:val="22"/>
          <w:szCs w:val="22"/>
          <w:lang w:eastAsia="en-US"/>
        </w:rPr>
        <w:t>17</w:t>
      </w:r>
      <w:r w:rsidRPr="325E90A3">
        <w:rPr>
          <w:rFonts w:ascii="Arial (W1)" w:hAnsi="Arial (W1)"/>
          <w:sz w:val="22"/>
          <w:szCs w:val="22"/>
          <w:lang w:eastAsia="en-US"/>
        </w:rPr>
        <w:t>,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45E49EAF" w14:textId="77777777" w:rsidR="00C95284" w:rsidRPr="0085208F" w:rsidRDefault="00C95284" w:rsidP="00C95284">
      <w:pPr>
        <w:rPr>
          <w:lang w:eastAsia="en-US"/>
        </w:rPr>
      </w:pPr>
    </w:p>
    <w:p w14:paraId="56D3078E" w14:textId="112C0744" w:rsidR="00C95284" w:rsidRDefault="00C95284" w:rsidP="00C95284">
      <w:pPr>
        <w:pStyle w:val="1"/>
        <w:jc w:val="both"/>
        <w:rPr>
          <w:b/>
          <w:color w:val="008080"/>
        </w:rPr>
      </w:pPr>
      <w:r>
        <w:tab/>
      </w: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611F77A5" w:rsidR="00C95284" w:rsidRDefault="06D9DBBB" w:rsidP="007D27B2">
      <w:pPr>
        <w:pStyle w:val="1"/>
        <w:numPr>
          <w:ilvl w:val="0"/>
          <w:numId w:val="80"/>
        </w:numPr>
        <w:jc w:val="both"/>
      </w:pPr>
      <w:r w:rsidRPr="325E90A3">
        <w:rPr>
          <w:b/>
          <w:bCs/>
        </w:rPr>
        <w:t>The Company</w:t>
      </w:r>
      <w:r>
        <w:t xml:space="preserve"> will calculate initial settlement (SF) BSUoS Charges in accordance with the methodology set out in section 14.3</w:t>
      </w:r>
      <w:r w:rsidR="01597651">
        <w:t>1</w:t>
      </w:r>
      <w:r>
        <w:t xml:space="preserve">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0F3DDAC6" w:rsidR="00C95284" w:rsidRDefault="06D9DBBB" w:rsidP="007D27B2">
      <w:pPr>
        <w:numPr>
          <w:ilvl w:val="0"/>
          <w:numId w:val="80"/>
        </w:numPr>
      </w:pPr>
      <w:r w:rsidRPr="325E90A3">
        <w:rPr>
          <w:rFonts w:ascii="Arial" w:hAnsi="Arial"/>
          <w:sz w:val="22"/>
          <w:szCs w:val="22"/>
        </w:rPr>
        <w:t>Pursuant to Paragraph 14.3</w:t>
      </w:r>
      <w:r w:rsidR="014B1709" w:rsidRPr="325E90A3">
        <w:rPr>
          <w:rFonts w:ascii="Arial" w:hAnsi="Arial"/>
          <w:sz w:val="22"/>
          <w:szCs w:val="22"/>
        </w:rPr>
        <w:t>1</w:t>
      </w:r>
      <w:r w:rsidRPr="325E90A3">
        <w:rPr>
          <w:rFonts w:ascii="Arial" w:hAnsi="Arial"/>
          <w:sz w:val="22"/>
          <w:szCs w:val="22"/>
        </w:rPr>
        <w:t>.5,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The Company</w:t>
      </w:r>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6E05869E" w14:textId="77777777" w:rsidR="00E86998" w:rsidRDefault="00E86998"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p>
    <w:p w14:paraId="34CE0748" w14:textId="2FE48D17" w:rsidR="00C95284" w:rsidRDefault="06D9DBBB"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r>
        <w:t xml:space="preserve">Relationship between the Statement of the Use of System Charging Methodology and the </w:t>
      </w:r>
      <w:r w:rsidR="34F6C666">
        <w:t>ESO</w:t>
      </w:r>
      <w:r>
        <w:t xml:space="preserve">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11833306" w:rsidR="00C95284" w:rsidRDefault="06D9DBBB" w:rsidP="007D27B2">
      <w:pPr>
        <w:pStyle w:val="1"/>
        <w:numPr>
          <w:ilvl w:val="0"/>
          <w:numId w:val="80"/>
        </w:numPr>
        <w:jc w:val="both"/>
      </w:pPr>
      <w:r>
        <w:t xml:space="preserve">BSUoS Charges are made on a daily basis and as such  this Statement sets out the details of the calculation of such charges on a daily basis. Customers may, when verifying Balancing Services Use of System Charges refer to the </w:t>
      </w:r>
      <w:r w:rsidR="39EEBC32" w:rsidRPr="009919C1">
        <w:rPr>
          <w:b/>
          <w:bCs/>
        </w:rPr>
        <w:t>ESO</w:t>
      </w:r>
      <w:r w:rsidRPr="009919C1">
        <w:rPr>
          <w:b/>
          <w:bCs/>
        </w:rPr>
        <w:t xml:space="preserve"> Licence</w:t>
      </w:r>
      <w:r>
        <w:t xml:space="preserve"> which sets out the maximum allowed revenue that </w:t>
      </w:r>
      <w:r w:rsidRPr="03871E98">
        <w:rPr>
          <w:b/>
          <w:bCs/>
        </w:rPr>
        <w:t>The Company</w:t>
      </w:r>
      <w:r>
        <w:t xml:space="preserve"> may recover .</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325E90A3">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41B8F1C4" w14:textId="77777777" w:rsidTr="325E90A3">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325E90A3">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2905F171" w14:textId="77777777" w:rsidTr="325E90A3">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325E90A3">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325E90A3">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325E90A3">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61EE20F1" w14:textId="77777777" w:rsidTr="325E90A3">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27E780A2" w14:textId="77777777" w:rsidTr="325E90A3">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325E90A3">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5B6E7282" w:rsidR="00C95284" w:rsidRDefault="00C95284" w:rsidP="00E75DBA">
            <w:pPr>
              <w:pStyle w:val="1"/>
              <w:jc w:val="both"/>
            </w:pPr>
            <w:r>
              <w:t>The revised Fixed BSUoS Price which applies for a number of Settlement Days s within a Fixed Price Period, as described in Paragraph 14.3</w:t>
            </w:r>
            <w:r w:rsidR="00110BB3">
              <w:t>1</w:t>
            </w:r>
            <w:r>
              <w:t>.1</w:t>
            </w:r>
            <w:r w:rsidR="00110BB3">
              <w:t>5</w:t>
            </w:r>
          </w:p>
        </w:tc>
      </w:tr>
      <w:tr w:rsidR="00C95284" w14:paraId="5A772443" w14:textId="77777777" w:rsidTr="325E90A3">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0474F7C" w14:textId="77777777" w:rsidTr="325E90A3">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325E90A3">
        <w:trPr>
          <w:trHeight w:val="982"/>
        </w:trPr>
        <w:tc>
          <w:tcPr>
            <w:tcW w:w="2518" w:type="dxa"/>
            <w:vAlign w:val="center"/>
          </w:tcPr>
          <w:p w14:paraId="2AC1342C" w14:textId="77777777" w:rsidR="00C95284" w:rsidRPr="007F556A" w:rsidRDefault="00C95284" w:rsidP="00E75DBA">
            <w:pPr>
              <w:pStyle w:val="1"/>
            </w:pPr>
            <w:r w:rsidRPr="00BD21E1">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33B0273B" w14:textId="77777777" w:rsidTr="325E90A3">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4EEA6C5D" w14:textId="77777777" w:rsidTr="325E90A3">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325E90A3">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325E90A3">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325E90A3">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325E90A3">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325E90A3">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325E90A3">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325E90A3">
        <w:trPr>
          <w:trHeight w:val="1257"/>
        </w:trPr>
        <w:tc>
          <w:tcPr>
            <w:tcW w:w="2518" w:type="dxa"/>
            <w:vAlign w:val="center"/>
          </w:tcPr>
          <w:p w14:paraId="3FE6D1BD" w14:textId="77777777" w:rsidR="00C95284" w:rsidRDefault="00C95284" w:rsidP="00E75DBA">
            <w:pPr>
              <w:pStyle w:val="1"/>
            </w:pPr>
            <w:r>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325E90A3">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5EE8B58C" w:rsidR="00430AFD" w:rsidRDefault="00430AFD">
      <w:pPr>
        <w:rPr>
          <w:rFonts w:ascii="Arial Bold" w:hAnsi="Arial Bold"/>
          <w:b/>
          <w:strike/>
          <w:color w:val="000080"/>
          <w:sz w:val="30"/>
          <w:lang w:eastAsia="en-US"/>
        </w:rPr>
      </w:pPr>
      <w:bookmarkStart w:id="465" w:name="BSUoSend"/>
      <w:bookmarkEnd w:id="465"/>
      <w:r>
        <w:rPr>
          <w:strike/>
        </w:rPr>
        <w:br w:type="page"/>
      </w:r>
    </w:p>
    <w:p w14:paraId="586BF0F5" w14:textId="3A757185" w:rsidR="00080C1B" w:rsidRPr="006351F1" w:rsidRDefault="00080C1B" w:rsidP="006351F1">
      <w:pPr>
        <w:spacing w:after="100" w:afterAutospacing="1"/>
        <w:jc w:val="center"/>
        <w:rPr>
          <w:rFonts w:ascii="Arial" w:hAnsi="Arial"/>
          <w:szCs w:val="28"/>
        </w:rPr>
      </w:pPr>
      <w:r w:rsidRPr="006351F1">
        <w:rPr>
          <w:rFonts w:ascii="Arial" w:hAnsi="Arial" w:cs="Arial"/>
          <w:b/>
          <w:bCs/>
          <w:sz w:val="28"/>
          <w:szCs w:val="28"/>
        </w:rPr>
        <w:t>CUSC Section 14 Schedule 1</w:t>
      </w:r>
    </w:p>
    <w:p w14:paraId="4007CC02"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Calculation of charges that fall within the Connection Exclusion</w:t>
      </w:r>
    </w:p>
    <w:p w14:paraId="062A3CE0"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EU Regulation 838/2010</w:t>
      </w:r>
    </w:p>
    <w:p w14:paraId="1D6E102E" w14:textId="2842904F" w:rsidR="00080C1B" w:rsidRDefault="00080C1B" w:rsidP="00080C1B">
      <w:pPr>
        <w:rPr>
          <w:rFonts w:ascii="Arial" w:hAnsi="Arial" w:cs="Arial"/>
          <w:b/>
          <w:bCs/>
          <w:kern w:val="28"/>
          <w:sz w:val="28"/>
          <w:szCs w:val="32"/>
          <w:u w:val="single"/>
        </w:rPr>
      </w:pPr>
    </w:p>
    <w:p w14:paraId="6162A964" w14:textId="77777777" w:rsidR="006227D4" w:rsidRDefault="006227D4" w:rsidP="004C41F4">
      <w:pPr>
        <w:rPr>
          <w:rFonts w:ascii="Arial" w:hAnsi="Arial" w:cs="Arial"/>
          <w:sz w:val="22"/>
          <w:lang w:eastAsia="en-US"/>
        </w:rPr>
      </w:pPr>
    </w:p>
    <w:p w14:paraId="72F78FB0" w14:textId="5793EFC8" w:rsidR="004C41F4" w:rsidRPr="006351F1" w:rsidRDefault="004C41F4" w:rsidP="004C41F4">
      <w:pPr>
        <w:rPr>
          <w:rFonts w:ascii="Arial" w:hAnsi="Arial" w:cs="Arial"/>
          <w:sz w:val="22"/>
          <w:lang w:eastAsia="en-US"/>
        </w:rPr>
      </w:pPr>
      <w:r w:rsidRPr="006351F1">
        <w:rPr>
          <w:rFonts w:ascii="Arial" w:hAnsi="Arial" w:cs="Arial"/>
          <w:sz w:val="22"/>
          <w:lang w:eastAsia="en-US"/>
        </w:rPr>
        <w:t>Schedule 1</w:t>
      </w:r>
    </w:p>
    <w:p w14:paraId="1E505098" w14:textId="77777777" w:rsidR="004C41F4" w:rsidRPr="006351F1" w:rsidRDefault="004C41F4" w:rsidP="004C41F4">
      <w:pPr>
        <w:rPr>
          <w:rFonts w:ascii="Arial" w:hAnsi="Arial" w:cs="Arial"/>
          <w:sz w:val="22"/>
          <w:lang w:eastAsia="en-US"/>
        </w:rPr>
      </w:pPr>
      <w:r w:rsidRPr="006351F1">
        <w:rPr>
          <w:rFonts w:ascii="Arial" w:hAnsi="Arial" w:cs="Arial"/>
          <w:sz w:val="22"/>
          <w:lang w:eastAsia="en-US"/>
        </w:rPr>
        <w:t>The proforma of the form and content to be published for the purposes of the calculation in accordance with Paragraph 14.29.</w:t>
      </w:r>
    </w:p>
    <w:p w14:paraId="0A30A23A" w14:textId="77777777" w:rsidR="004C41F4" w:rsidRDefault="004C41F4" w:rsidP="004C41F4">
      <w:pPr>
        <w:rPr>
          <w:rFonts w:ascii="Arial" w:hAnsi="Arial" w:cs="Arial"/>
          <w:b/>
          <w:bCs/>
          <w:kern w:val="28"/>
          <w:sz w:val="28"/>
          <w:szCs w:val="32"/>
          <w:u w:val="single"/>
        </w:rPr>
      </w:pPr>
    </w:p>
    <w:tbl>
      <w:tblPr>
        <w:tblStyle w:val="TableGrid"/>
        <w:tblW w:w="0" w:type="auto"/>
        <w:tblLook w:val="04A0" w:firstRow="1" w:lastRow="0" w:firstColumn="1" w:lastColumn="0" w:noHBand="0" w:noVBand="1"/>
      </w:tblPr>
      <w:tblGrid>
        <w:gridCol w:w="1279"/>
        <w:gridCol w:w="2060"/>
        <w:gridCol w:w="1704"/>
        <w:gridCol w:w="2068"/>
        <w:gridCol w:w="927"/>
        <w:gridCol w:w="1017"/>
      </w:tblGrid>
      <w:tr w:rsidR="004C41F4" w14:paraId="16F295DD" w14:textId="77777777" w:rsidTr="005A4CA1">
        <w:trPr>
          <w:trHeight w:val="1830"/>
        </w:trPr>
        <w:tc>
          <w:tcPr>
            <w:tcW w:w="2265" w:type="dxa"/>
          </w:tcPr>
          <w:p w14:paraId="06CC37BB" w14:textId="77777777" w:rsidR="004C41F4" w:rsidRPr="00656D88" w:rsidRDefault="004C41F4" w:rsidP="005A4CA1">
            <w:pPr>
              <w:rPr>
                <w:rFonts w:ascii="Arial" w:hAnsi="Arial" w:cs="Arial"/>
                <w:b/>
                <w:bCs/>
                <w:kern w:val="28"/>
                <w:sz w:val="28"/>
                <w:szCs w:val="32"/>
                <w:u w:val="single"/>
              </w:rPr>
            </w:pPr>
            <w:r w:rsidRPr="00656D88">
              <w:rPr>
                <w:rFonts w:ascii="Arial" w:hAnsi="Arial" w:cs="Arial"/>
                <w:b/>
                <w:bCs/>
                <w:kern w:val="28"/>
                <w:sz w:val="28"/>
                <w:szCs w:val="32"/>
                <w:u w:val="single"/>
              </w:rPr>
              <w:t>Project Name</w:t>
            </w:r>
          </w:p>
        </w:tc>
        <w:tc>
          <w:tcPr>
            <w:tcW w:w="2388" w:type="dxa"/>
          </w:tcPr>
          <w:p w14:paraId="6382BE4C"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Transmission Asset name</w:t>
            </w:r>
          </w:p>
        </w:tc>
        <w:tc>
          <w:tcPr>
            <w:tcW w:w="2513" w:type="dxa"/>
          </w:tcPr>
          <w:p w14:paraId="29CB60BF"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PARC/Non PARC</w:t>
            </w:r>
          </w:p>
        </w:tc>
        <w:tc>
          <w:tcPr>
            <w:tcW w:w="2468" w:type="dxa"/>
          </w:tcPr>
          <w:p w14:paraId="7A4B51E1"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Annual Local Charge for company Transmission Asset</w:t>
            </w:r>
          </w:p>
        </w:tc>
        <w:tc>
          <w:tcPr>
            <w:tcW w:w="2241" w:type="dxa"/>
          </w:tcPr>
          <w:p w14:paraId="3691246B"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TEC</w:t>
            </w:r>
          </w:p>
        </w:tc>
        <w:tc>
          <w:tcPr>
            <w:tcW w:w="2071" w:type="dxa"/>
          </w:tcPr>
          <w:p w14:paraId="792EE420"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Tariff</w:t>
            </w:r>
          </w:p>
        </w:tc>
      </w:tr>
      <w:tr w:rsidR="004C41F4" w14:paraId="7D700E11" w14:textId="77777777" w:rsidTr="005A4CA1">
        <w:trPr>
          <w:trHeight w:val="343"/>
        </w:trPr>
        <w:tc>
          <w:tcPr>
            <w:tcW w:w="2265" w:type="dxa"/>
          </w:tcPr>
          <w:p w14:paraId="736C0B09" w14:textId="77777777" w:rsidR="004C41F4" w:rsidRDefault="004C41F4" w:rsidP="005A4CA1">
            <w:pPr>
              <w:rPr>
                <w:rFonts w:ascii="Arial" w:hAnsi="Arial" w:cs="Arial"/>
                <w:b/>
                <w:bCs/>
                <w:kern w:val="28"/>
                <w:sz w:val="28"/>
                <w:szCs w:val="32"/>
                <w:u w:val="single"/>
              </w:rPr>
            </w:pPr>
          </w:p>
        </w:tc>
        <w:tc>
          <w:tcPr>
            <w:tcW w:w="2388" w:type="dxa"/>
          </w:tcPr>
          <w:p w14:paraId="12F04A9D" w14:textId="77777777" w:rsidR="004C41F4" w:rsidRDefault="004C41F4" w:rsidP="005A4CA1">
            <w:pPr>
              <w:rPr>
                <w:rFonts w:ascii="Arial" w:hAnsi="Arial" w:cs="Arial"/>
                <w:b/>
                <w:bCs/>
                <w:kern w:val="28"/>
                <w:sz w:val="28"/>
                <w:szCs w:val="32"/>
                <w:u w:val="single"/>
              </w:rPr>
            </w:pPr>
          </w:p>
        </w:tc>
        <w:tc>
          <w:tcPr>
            <w:tcW w:w="2513" w:type="dxa"/>
          </w:tcPr>
          <w:p w14:paraId="276B23B5" w14:textId="77777777" w:rsidR="004C41F4" w:rsidRDefault="004C41F4" w:rsidP="005A4CA1">
            <w:pPr>
              <w:rPr>
                <w:rFonts w:ascii="Arial" w:hAnsi="Arial" w:cs="Arial"/>
                <w:b/>
                <w:bCs/>
                <w:kern w:val="28"/>
                <w:sz w:val="28"/>
                <w:szCs w:val="32"/>
                <w:u w:val="single"/>
              </w:rPr>
            </w:pPr>
          </w:p>
        </w:tc>
        <w:tc>
          <w:tcPr>
            <w:tcW w:w="2468" w:type="dxa"/>
          </w:tcPr>
          <w:p w14:paraId="544592D8" w14:textId="77777777" w:rsidR="004C41F4" w:rsidRDefault="004C41F4" w:rsidP="005A4CA1">
            <w:pPr>
              <w:rPr>
                <w:rFonts w:ascii="Arial" w:hAnsi="Arial" w:cs="Arial"/>
                <w:b/>
                <w:bCs/>
                <w:kern w:val="28"/>
                <w:sz w:val="28"/>
                <w:szCs w:val="32"/>
                <w:u w:val="single"/>
              </w:rPr>
            </w:pPr>
          </w:p>
        </w:tc>
        <w:tc>
          <w:tcPr>
            <w:tcW w:w="2241" w:type="dxa"/>
          </w:tcPr>
          <w:p w14:paraId="0C1F5C3D" w14:textId="77777777" w:rsidR="004C41F4" w:rsidRDefault="004C41F4" w:rsidP="005A4CA1">
            <w:pPr>
              <w:rPr>
                <w:rFonts w:ascii="Arial" w:hAnsi="Arial" w:cs="Arial"/>
                <w:b/>
                <w:bCs/>
                <w:kern w:val="28"/>
                <w:sz w:val="28"/>
                <w:szCs w:val="32"/>
                <w:u w:val="single"/>
              </w:rPr>
            </w:pPr>
          </w:p>
        </w:tc>
        <w:tc>
          <w:tcPr>
            <w:tcW w:w="2071" w:type="dxa"/>
          </w:tcPr>
          <w:p w14:paraId="2A2235A0" w14:textId="77777777" w:rsidR="004C41F4" w:rsidRDefault="004C41F4" w:rsidP="005A4CA1">
            <w:pPr>
              <w:rPr>
                <w:rFonts w:ascii="Arial" w:hAnsi="Arial" w:cs="Arial"/>
                <w:b/>
                <w:bCs/>
                <w:kern w:val="28"/>
                <w:sz w:val="28"/>
                <w:szCs w:val="32"/>
                <w:u w:val="single"/>
              </w:rPr>
            </w:pPr>
          </w:p>
        </w:tc>
      </w:tr>
    </w:tbl>
    <w:p w14:paraId="09F72E47" w14:textId="77777777" w:rsidR="004C41F4" w:rsidRDefault="004C41F4" w:rsidP="00080C1B">
      <w:pPr>
        <w:rPr>
          <w:rFonts w:ascii="Arial" w:hAnsi="Arial" w:cs="Arial"/>
          <w:b/>
          <w:bCs/>
          <w:kern w:val="28"/>
          <w:sz w:val="28"/>
          <w:szCs w:val="32"/>
          <w:u w:val="single"/>
        </w:rPr>
      </w:pPr>
    </w:p>
    <w:p w14:paraId="52442B4B" w14:textId="77777777" w:rsidR="004C41F4" w:rsidRDefault="004C41F4" w:rsidP="00080C1B">
      <w:pPr>
        <w:rPr>
          <w:rFonts w:ascii="Arial" w:hAnsi="Arial" w:cs="Arial"/>
          <w:b/>
          <w:bCs/>
          <w:kern w:val="28"/>
          <w:sz w:val="28"/>
          <w:szCs w:val="32"/>
          <w:u w:val="single"/>
        </w:rPr>
      </w:pPr>
    </w:p>
    <w:p w14:paraId="2AADC7D8" w14:textId="77777777" w:rsidR="009B51C4" w:rsidRDefault="009B51C4" w:rsidP="00080C1B">
      <w:pPr>
        <w:rPr>
          <w:rFonts w:ascii="Arial" w:hAnsi="Arial" w:cs="Arial"/>
          <w:b/>
          <w:bCs/>
          <w:kern w:val="28"/>
          <w:sz w:val="28"/>
          <w:szCs w:val="32"/>
          <w:u w:val="single"/>
        </w:rPr>
      </w:pPr>
    </w:p>
    <w:p w14:paraId="0E75E137" w14:textId="77777777" w:rsidR="009B51C4" w:rsidRDefault="009B51C4" w:rsidP="00080C1B">
      <w:pPr>
        <w:rPr>
          <w:rFonts w:ascii="Arial" w:hAnsi="Arial" w:cs="Arial"/>
          <w:b/>
          <w:bCs/>
          <w:kern w:val="28"/>
          <w:sz w:val="28"/>
          <w:szCs w:val="32"/>
          <w:u w:val="single"/>
        </w:rPr>
      </w:pPr>
    </w:p>
    <w:p w14:paraId="2089AE94" w14:textId="77777777" w:rsidR="006A4386" w:rsidRPr="00FC681D" w:rsidRDefault="006A4386" w:rsidP="006351F1">
      <w:pPr>
        <w:pStyle w:val="Heading1"/>
        <w:jc w:val="center"/>
        <w:rPr>
          <w:strike/>
        </w:rPr>
      </w:pPr>
    </w:p>
    <w:sectPr w:rsidR="006A4386" w:rsidRPr="00FC681D" w:rsidSect="002E5004">
      <w:headerReference w:type="even" r:id="rId99"/>
      <w:headerReference w:type="default" r:id="rId100"/>
      <w:footerReference w:type="even" r:id="rId101"/>
      <w:footerReference w:type="default" r:id="rId102"/>
      <w:headerReference w:type="first" r:id="rId103"/>
      <w:footnotePr>
        <w:numRestart w:val="eachPage"/>
      </w:footnotePr>
      <w:pgSz w:w="11906" w:h="16838" w:code="9"/>
      <w:pgMar w:top="1140" w:right="1140" w:bottom="114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9DB97E" w14:textId="77777777" w:rsidR="00A242ED" w:rsidRDefault="00A242ED" w:rsidP="001046D7">
      <w:pPr>
        <w:pStyle w:val="LogoCaption"/>
      </w:pPr>
      <w:r>
        <w:separator/>
      </w:r>
    </w:p>
  </w:endnote>
  <w:endnote w:type="continuationSeparator" w:id="0">
    <w:p w14:paraId="2C93B753" w14:textId="77777777" w:rsidR="00A242ED" w:rsidRDefault="00A242ED" w:rsidP="001046D7">
      <w:pPr>
        <w:pStyle w:val="LogoCaption"/>
      </w:pPr>
      <w:r>
        <w:continuationSeparator/>
      </w:r>
    </w:p>
  </w:endnote>
  <w:endnote w:type="continuationNotice" w:id="1">
    <w:p w14:paraId="46492FC1" w14:textId="77777777" w:rsidR="00A242ED" w:rsidRDefault="00A242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5816BDE1" w:rsidR="00CD5631" w:rsidRDefault="00CD5631">
    <w:pPr>
      <w:pStyle w:val="Footer"/>
    </w:pPr>
    <w:r>
      <w:fldChar w:fldCharType="begin"/>
    </w:r>
    <w:r>
      <w:instrText xml:space="preserve"> DOCPROPERTY "DocID" \* MERGEFORMAT </w:instrText>
    </w:r>
    <w:r>
      <w:fldChar w:fldCharType="separate"/>
    </w:r>
    <w:r w:rsidR="005642D4">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EA5E5" w14:textId="011E880A" w:rsidR="00CD5631" w:rsidRPr="004D2C72" w:rsidRDefault="325E90A3" w:rsidP="00094C68">
    <w:pPr>
      <w:pStyle w:val="Footer"/>
      <w:jc w:val="right"/>
      <w:rPr>
        <w:rFonts w:ascii="Arial" w:hAnsi="Arial" w:cs="Arial"/>
        <w:sz w:val="18"/>
        <w:szCs w:val="18"/>
      </w:rPr>
    </w:pPr>
    <w:r w:rsidRPr="325E90A3">
      <w:rPr>
        <w:rStyle w:val="PageNumber"/>
        <w:rFonts w:ascii="Arial" w:hAnsi="Arial" w:cs="Arial"/>
        <w:sz w:val="18"/>
        <w:szCs w:val="18"/>
      </w:rPr>
      <w:t xml:space="preserve">Page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PAGE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57</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of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NUMPAGES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150</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w:t>
    </w:r>
    <w:r w:rsidRPr="325E90A3">
      <w:rPr>
        <w:rStyle w:val="PageNumber"/>
      </w:rPr>
      <w:t xml:space="preserve">                                                </w:t>
    </w:r>
    <w:r w:rsidR="007E7918" w:rsidRPr="325E90A3">
      <w:rPr>
        <w:rFonts w:ascii="Arial" w:hAnsi="Arial" w:cs="Arial"/>
        <w:sz w:val="18"/>
        <w:szCs w:val="18"/>
      </w:rPr>
      <w:t>V1.4</w:t>
    </w:r>
    <w:r w:rsidR="006D2410">
      <w:rPr>
        <w:rFonts w:ascii="Arial" w:hAnsi="Arial" w:cs="Arial"/>
        <w:sz w:val="18"/>
        <w:szCs w:val="18"/>
      </w:rPr>
      <w:t>6</w:t>
    </w:r>
    <w:r w:rsidR="007E7918">
      <w:rPr>
        <w:rFonts w:ascii="Arial" w:hAnsi="Arial" w:cs="Arial"/>
        <w:sz w:val="18"/>
        <w:szCs w:val="18"/>
      </w:rPr>
      <w:t xml:space="preserve"> 0</w:t>
    </w:r>
    <w:r w:rsidR="006D2410">
      <w:rPr>
        <w:rFonts w:ascii="Arial" w:hAnsi="Arial" w:cs="Arial"/>
        <w:sz w:val="18"/>
        <w:szCs w:val="18"/>
      </w:rPr>
      <w:t>8</w:t>
    </w:r>
    <w:r w:rsidR="007E7918">
      <w:rPr>
        <w:rFonts w:ascii="Arial" w:hAnsi="Arial" w:cs="Arial"/>
        <w:sz w:val="18"/>
        <w:szCs w:val="18"/>
      </w:rPr>
      <w:t xml:space="preserve"> April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994297" w14:textId="77777777" w:rsidR="00A242ED" w:rsidRDefault="00A242ED" w:rsidP="001046D7">
      <w:pPr>
        <w:pStyle w:val="LogoCaption"/>
      </w:pPr>
      <w:r>
        <w:separator/>
      </w:r>
    </w:p>
  </w:footnote>
  <w:footnote w:type="continuationSeparator" w:id="0">
    <w:p w14:paraId="7A80E180" w14:textId="77777777" w:rsidR="00A242ED" w:rsidRDefault="00A242ED" w:rsidP="001046D7">
      <w:pPr>
        <w:pStyle w:val="LogoCaption"/>
      </w:pPr>
      <w:r>
        <w:continuationSeparator/>
      </w:r>
    </w:p>
  </w:footnote>
  <w:footnote w:type="continuationNotice" w:id="1">
    <w:p w14:paraId="70451235" w14:textId="77777777" w:rsidR="00A242ED" w:rsidRDefault="00A242ED"/>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367" w:name="OLE_LINK4"/>
      <w:bookmarkStart w:id="368" w:name="OLE_LINK5"/>
      <w:r w:rsidRPr="00222B22">
        <w:rPr>
          <w:rFonts w:cs="Arial"/>
          <w:sz w:val="18"/>
          <w:szCs w:val="18"/>
        </w:rPr>
        <w:t xml:space="preserve">LDTEC Indicative Block Offer </w:t>
      </w:r>
      <w:bookmarkEnd w:id="367"/>
      <w:bookmarkEnd w:id="368"/>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065"/>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466"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467" w:name="bmkLogoCaptionEven" w:colFirst="0" w:colLast="0"/>
          <w:bookmarkEnd w:id="466"/>
        </w:p>
      </w:tc>
    </w:tr>
    <w:bookmarkEnd w:id="467"/>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A7254" w14:textId="297281EE" w:rsidR="00CD5631" w:rsidRPr="00F22EB8" w:rsidRDefault="325E90A3">
    <w:pPr>
      <w:pStyle w:val="Header"/>
      <w:rPr>
        <w:rFonts w:ascii="Arial" w:hAnsi="Arial" w:cs="Arial"/>
        <w:sz w:val="18"/>
        <w:szCs w:val="18"/>
      </w:rPr>
    </w:pPr>
    <w:r w:rsidRPr="325E90A3">
      <w:rPr>
        <w:rFonts w:ascii="Arial" w:hAnsi="Arial" w:cs="Arial"/>
        <w:sz w:val="18"/>
        <w:szCs w:val="18"/>
      </w:rPr>
      <w:t>CUSC v1.4</w:t>
    </w:r>
    <w:r w:rsidR="006D2410">
      <w:rPr>
        <w:rFonts w:ascii="Arial" w:hAnsi="Arial" w:cs="Arial"/>
        <w:sz w:val="18"/>
        <w:szCs w:val="18"/>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000" w:firstRow="0" w:lastRow="0" w:firstColumn="0" w:lastColumn="0" w:noHBand="0" w:noVBand="0"/>
    </w:tblPr>
    <w:tblGrid>
      <w:gridCol w:w="9065"/>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468"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469" w:name="bmkLogoCaption" w:colFirst="0" w:colLast="0"/>
          <w:bookmarkEnd w:id="468"/>
        </w:p>
      </w:tc>
    </w:tr>
    <w:bookmarkEnd w:id="469"/>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D261D41"/>
    <w:multiLevelType w:val="hybridMultilevel"/>
    <w:tmpl w:val="05D61B20"/>
    <w:lvl w:ilvl="0" w:tplc="41B8A240">
      <w:start w:val="3"/>
      <w:numFmt w:val="decimal"/>
      <w:lvlText w:val="14.1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3" w15:restartNumberingAfterBreak="0">
    <w:nsid w:val="13886B75"/>
    <w:multiLevelType w:val="multilevel"/>
    <w:tmpl w:val="4920E6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1"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2"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5"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6"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8"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3"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4"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2"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3"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4"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8"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9"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2"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A9A647A"/>
    <w:multiLevelType w:val="hybridMultilevel"/>
    <w:tmpl w:val="C39CF31E"/>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64"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5"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6"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7"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8"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9"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70"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2"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5"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6"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7"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8"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9"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81"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2"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6"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7"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8"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9"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90"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91"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8"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9"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0"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1"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2"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3"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4"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5"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6"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7"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8"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10"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11"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2"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3"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4"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6"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7" w15:restartNumberingAfterBreak="0">
    <w:nsid w:val="70204A43"/>
    <w:multiLevelType w:val="hybridMultilevel"/>
    <w:tmpl w:val="7208FA26"/>
    <w:lvl w:ilvl="0" w:tplc="08090001">
      <w:start w:val="1"/>
      <w:numFmt w:val="bullet"/>
      <w:lvlText w:val=""/>
      <w:lvlJc w:val="left"/>
      <w:pPr>
        <w:ind w:left="1636" w:hanging="360"/>
      </w:pPr>
      <w:rPr>
        <w:rFonts w:ascii="Symbol" w:hAnsi="Symbol" w:hint="default"/>
      </w:rPr>
    </w:lvl>
    <w:lvl w:ilvl="1" w:tplc="08090003">
      <w:start w:val="1"/>
      <w:numFmt w:val="bullet"/>
      <w:lvlText w:val="o"/>
      <w:lvlJc w:val="left"/>
      <w:pPr>
        <w:ind w:left="2356" w:hanging="360"/>
      </w:pPr>
      <w:rPr>
        <w:rFonts w:ascii="Courier New" w:hAnsi="Courier New" w:cs="Courier New" w:hint="default"/>
      </w:rPr>
    </w:lvl>
    <w:lvl w:ilvl="2" w:tplc="08090005">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18"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20"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1"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2"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3"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5"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7"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8"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9"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30"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31"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6"/>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4"/>
  </w:num>
  <w:num w:numId="13" w16cid:durableId="2071802399">
    <w:abstractNumId w:val="102"/>
  </w:num>
  <w:num w:numId="14" w16cid:durableId="1717123476">
    <w:abstractNumId w:val="61"/>
  </w:num>
  <w:num w:numId="15" w16cid:durableId="1804423921">
    <w:abstractNumId w:val="93"/>
  </w:num>
  <w:num w:numId="16" w16cid:durableId="222109407">
    <w:abstractNumId w:val="77"/>
  </w:num>
  <w:num w:numId="17" w16cid:durableId="2094357796">
    <w:abstractNumId w:val="10"/>
  </w:num>
  <w:num w:numId="18" w16cid:durableId="1743720666">
    <w:abstractNumId w:val="48"/>
  </w:num>
  <w:num w:numId="19" w16cid:durableId="689529049">
    <w:abstractNumId w:val="82"/>
  </w:num>
  <w:num w:numId="20" w16cid:durableId="1479567228">
    <w:abstractNumId w:val="29"/>
  </w:num>
  <w:num w:numId="21" w16cid:durableId="974681360">
    <w:abstractNumId w:val="39"/>
  </w:num>
  <w:num w:numId="22" w16cid:durableId="2011564590">
    <w:abstractNumId w:val="123"/>
  </w:num>
  <w:num w:numId="23" w16cid:durableId="705788641">
    <w:abstractNumId w:val="113"/>
  </w:num>
  <w:num w:numId="24" w16cid:durableId="738089661">
    <w:abstractNumId w:val="49"/>
  </w:num>
  <w:num w:numId="25" w16cid:durableId="818885184">
    <w:abstractNumId w:val="97"/>
  </w:num>
  <w:num w:numId="26" w16cid:durableId="1342705191">
    <w:abstractNumId w:val="127"/>
  </w:num>
  <w:num w:numId="27" w16cid:durableId="1212688390">
    <w:abstractNumId w:val="87"/>
  </w:num>
  <w:num w:numId="28" w16cid:durableId="2025209318">
    <w:abstractNumId w:val="105"/>
  </w:num>
  <w:num w:numId="29" w16cid:durableId="1116098369">
    <w:abstractNumId w:val="129"/>
  </w:num>
  <w:num w:numId="30" w16cid:durableId="1668022375">
    <w:abstractNumId w:val="46"/>
  </w:num>
  <w:num w:numId="31" w16cid:durableId="1095394850">
    <w:abstractNumId w:val="50"/>
  </w:num>
  <w:num w:numId="32" w16cid:durableId="236868696">
    <w:abstractNumId w:val="125"/>
  </w:num>
  <w:num w:numId="33" w16cid:durableId="1199660472">
    <w:abstractNumId w:val="60"/>
  </w:num>
  <w:num w:numId="34" w16cid:durableId="1562131476">
    <w:abstractNumId w:val="126"/>
  </w:num>
  <w:num w:numId="35" w16cid:durableId="1593783032">
    <w:abstractNumId w:val="41"/>
  </w:num>
  <w:num w:numId="36" w16cid:durableId="1932467391">
    <w:abstractNumId w:val="84"/>
  </w:num>
  <w:num w:numId="37" w16cid:durableId="1825585835">
    <w:abstractNumId w:val="59"/>
  </w:num>
  <w:num w:numId="38" w16cid:durableId="652221816">
    <w:abstractNumId w:val="95"/>
  </w:num>
  <w:num w:numId="39" w16cid:durableId="74860716">
    <w:abstractNumId w:val="104"/>
  </w:num>
  <w:num w:numId="40" w16cid:durableId="394087964">
    <w:abstractNumId w:val="18"/>
  </w:num>
  <w:num w:numId="41" w16cid:durableId="334454382">
    <w:abstractNumId w:val="92"/>
  </w:num>
  <w:num w:numId="42" w16cid:durableId="911429566">
    <w:abstractNumId w:val="54"/>
  </w:num>
  <w:num w:numId="43" w16cid:durableId="1679190630">
    <w:abstractNumId w:val="44"/>
  </w:num>
  <w:num w:numId="44" w16cid:durableId="304820561">
    <w:abstractNumId w:val="81"/>
  </w:num>
  <w:num w:numId="45" w16cid:durableId="141771232">
    <w:abstractNumId w:val="112"/>
  </w:num>
  <w:num w:numId="46" w16cid:durableId="1360278576">
    <w:abstractNumId w:val="15"/>
  </w:num>
  <w:num w:numId="47" w16cid:durableId="834801188">
    <w:abstractNumId w:val="12"/>
  </w:num>
  <w:num w:numId="48" w16cid:durableId="297492059">
    <w:abstractNumId w:val="38"/>
  </w:num>
  <w:num w:numId="49" w16cid:durableId="56363234">
    <w:abstractNumId w:val="96"/>
  </w:num>
  <w:num w:numId="50" w16cid:durableId="1827938530">
    <w:abstractNumId w:val="45"/>
  </w:num>
  <w:num w:numId="51" w16cid:durableId="835192705">
    <w:abstractNumId w:val="90"/>
  </w:num>
  <w:num w:numId="52" w16cid:durableId="1261723885">
    <w:abstractNumId w:val="65"/>
  </w:num>
  <w:num w:numId="53" w16cid:durableId="1162237884">
    <w:abstractNumId w:val="131"/>
  </w:num>
  <w:num w:numId="54" w16cid:durableId="833766499">
    <w:abstractNumId w:val="85"/>
  </w:num>
  <w:num w:numId="55" w16cid:durableId="942301378">
    <w:abstractNumId w:val="79"/>
  </w:num>
  <w:num w:numId="56" w16cid:durableId="1117991261">
    <w:abstractNumId w:val="27"/>
  </w:num>
  <w:num w:numId="57" w16cid:durableId="990256311">
    <w:abstractNumId w:val="119"/>
  </w:num>
  <w:num w:numId="58" w16cid:durableId="1148740566">
    <w:abstractNumId w:val="64"/>
  </w:num>
  <w:num w:numId="59" w16cid:durableId="2141023162">
    <w:abstractNumId w:val="110"/>
  </w:num>
  <w:num w:numId="60" w16cid:durableId="408163391">
    <w:abstractNumId w:val="58"/>
  </w:num>
  <w:num w:numId="61" w16cid:durableId="2093744801">
    <w:abstractNumId w:val="74"/>
  </w:num>
  <w:num w:numId="62" w16cid:durableId="87652595">
    <w:abstractNumId w:val="17"/>
  </w:num>
  <w:num w:numId="63" w16cid:durableId="335770721">
    <w:abstractNumId w:val="62"/>
  </w:num>
  <w:num w:numId="64" w16cid:durableId="123042263">
    <w:abstractNumId w:val="22"/>
  </w:num>
  <w:num w:numId="65" w16cid:durableId="470826849">
    <w:abstractNumId w:val="19"/>
  </w:num>
  <w:num w:numId="66" w16cid:durableId="810556757">
    <w:abstractNumId w:val="26"/>
  </w:num>
  <w:num w:numId="67" w16cid:durableId="1696953868">
    <w:abstractNumId w:val="114"/>
  </w:num>
  <w:num w:numId="68" w16cid:durableId="1570655644">
    <w:abstractNumId w:val="80"/>
  </w:num>
  <w:num w:numId="69" w16cid:durableId="1375809632">
    <w:abstractNumId w:val="52"/>
  </w:num>
  <w:num w:numId="70" w16cid:durableId="2114855525">
    <w:abstractNumId w:val="111"/>
  </w:num>
  <w:num w:numId="71" w16cid:durableId="1608273475">
    <w:abstractNumId w:val="98"/>
  </w:num>
  <w:num w:numId="72" w16cid:durableId="1821463858">
    <w:abstractNumId w:val="24"/>
  </w:num>
  <w:num w:numId="73" w16cid:durableId="1132359222">
    <w:abstractNumId w:val="28"/>
  </w:num>
  <w:num w:numId="74" w16cid:durableId="462238152">
    <w:abstractNumId w:val="71"/>
  </w:num>
  <w:num w:numId="75" w16cid:durableId="56518462">
    <w:abstractNumId w:val="99"/>
  </w:num>
  <w:num w:numId="76" w16cid:durableId="1661079739">
    <w:abstractNumId w:val="72"/>
  </w:num>
  <w:num w:numId="77" w16cid:durableId="1650279771">
    <w:abstractNumId w:val="36"/>
  </w:num>
  <w:num w:numId="78" w16cid:durableId="1618681429">
    <w:abstractNumId w:val="47"/>
  </w:num>
  <w:num w:numId="79" w16cid:durableId="4329660">
    <w:abstractNumId w:val="100"/>
  </w:num>
  <w:num w:numId="80" w16cid:durableId="329065058">
    <w:abstractNumId w:val="122"/>
  </w:num>
  <w:num w:numId="81" w16cid:durableId="371882680">
    <w:abstractNumId w:val="78"/>
  </w:num>
  <w:num w:numId="82" w16cid:durableId="10839006">
    <w:abstractNumId w:val="68"/>
  </w:num>
  <w:num w:numId="83" w16cid:durableId="1920824130">
    <w:abstractNumId w:val="53"/>
  </w:num>
  <w:num w:numId="84" w16cid:durableId="623313609">
    <w:abstractNumId w:val="118"/>
  </w:num>
  <w:num w:numId="85" w16cid:durableId="788816744">
    <w:abstractNumId w:val="94"/>
  </w:num>
  <w:num w:numId="86" w16cid:durableId="1352485846">
    <w:abstractNumId w:val="70"/>
  </w:num>
  <w:num w:numId="87" w16cid:durableId="1413237035">
    <w:abstractNumId w:val="116"/>
  </w:num>
  <w:num w:numId="88" w16cid:durableId="1873180725">
    <w:abstractNumId w:val="55"/>
  </w:num>
  <w:num w:numId="89" w16cid:durableId="31350598">
    <w:abstractNumId w:val="40"/>
  </w:num>
  <w:num w:numId="90" w16cid:durableId="557669809">
    <w:abstractNumId w:val="13"/>
  </w:num>
  <w:num w:numId="91" w16cid:durableId="1510018792">
    <w:abstractNumId w:val="14"/>
  </w:num>
  <w:num w:numId="92" w16cid:durableId="493228684">
    <w:abstractNumId w:val="35"/>
  </w:num>
  <w:num w:numId="93" w16cid:durableId="506677719">
    <w:abstractNumId w:val="128"/>
  </w:num>
  <w:num w:numId="94" w16cid:durableId="1598905189">
    <w:abstractNumId w:val="107"/>
  </w:num>
  <w:num w:numId="95" w16cid:durableId="47769389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9"/>
    <w:lvlOverride w:ilvl="0">
      <w:startOverride w:val="1"/>
    </w:lvlOverride>
    <w:lvlOverride w:ilvl="1"/>
    <w:lvlOverride w:ilvl="2"/>
    <w:lvlOverride w:ilvl="3"/>
    <w:lvlOverride w:ilvl="4"/>
    <w:lvlOverride w:ilvl="5"/>
    <w:lvlOverride w:ilvl="6"/>
    <w:lvlOverride w:ilvl="7"/>
    <w:lvlOverride w:ilvl="8"/>
  </w:num>
  <w:num w:numId="97" w16cid:durableId="5121126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30"/>
  </w:num>
  <w:num w:numId="101" w16cid:durableId="1071587397">
    <w:abstractNumId w:val="106"/>
    <w:lvlOverride w:ilvl="0">
      <w:startOverride w:val="1"/>
    </w:lvlOverride>
  </w:num>
  <w:num w:numId="102" w16cid:durableId="292099872">
    <w:abstractNumId w:val="75"/>
    <w:lvlOverride w:ilvl="0">
      <w:startOverride w:val="2"/>
    </w:lvlOverride>
  </w:num>
  <w:num w:numId="103" w16cid:durableId="1254435813">
    <w:abstractNumId w:val="89"/>
    <w:lvlOverride w:ilvl="0">
      <w:startOverride w:val="3"/>
    </w:lvlOverride>
  </w:num>
  <w:num w:numId="104" w16cid:durableId="1127236637">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2"/>
  </w:num>
  <w:num w:numId="109" w16cid:durableId="1706251565">
    <w:abstractNumId w:val="43"/>
  </w:num>
  <w:num w:numId="110" w16cid:durableId="970206087">
    <w:abstractNumId w:val="124"/>
  </w:num>
  <w:num w:numId="111" w16cid:durableId="1775595339">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9"/>
  </w:num>
  <w:num w:numId="114" w16cid:durableId="712123631">
    <w:abstractNumId w:val="51"/>
  </w:num>
  <w:num w:numId="115" w16cid:durableId="263922419">
    <w:abstractNumId w:val="103"/>
  </w:num>
  <w:num w:numId="116" w16cid:durableId="131907318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91"/>
  </w:num>
  <w:num w:numId="119" w16cid:durableId="1616595295">
    <w:abstractNumId w:val="83"/>
  </w:num>
  <w:num w:numId="120" w16cid:durableId="722295680">
    <w:abstractNumId w:val="56"/>
  </w:num>
  <w:num w:numId="121" w16cid:durableId="1984769303">
    <w:abstractNumId w:val="73"/>
  </w:num>
  <w:num w:numId="122" w16cid:durableId="2107647054">
    <w:abstractNumId w:val="33"/>
  </w:num>
  <w:num w:numId="123" w16cid:durableId="1380737523">
    <w:abstractNumId w:val="25"/>
  </w:num>
  <w:num w:numId="124" w16cid:durableId="1566379448">
    <w:abstractNumId w:val="130"/>
  </w:num>
  <w:num w:numId="125" w16cid:durableId="1656563205">
    <w:abstractNumId w:val="86"/>
  </w:num>
  <w:num w:numId="126" w16cid:durableId="1493257453">
    <w:abstractNumId w:val="69"/>
  </w:num>
  <w:num w:numId="127" w16cid:durableId="2008901480">
    <w:abstractNumId w:val="11"/>
  </w:num>
  <w:num w:numId="128" w16cid:durableId="1795295263">
    <w:abstractNumId w:val="67"/>
  </w:num>
  <w:num w:numId="129" w16cid:durableId="33697932">
    <w:abstractNumId w:val="121"/>
  </w:num>
  <w:num w:numId="130" w16cid:durableId="1650404688">
    <w:abstractNumId w:val="42"/>
  </w:num>
  <w:num w:numId="131" w16cid:durableId="2143233433">
    <w:abstractNumId w:val="101"/>
  </w:num>
  <w:num w:numId="132" w16cid:durableId="919946704">
    <w:abstractNumId w:val="21"/>
  </w:num>
  <w:num w:numId="133" w16cid:durableId="282805147">
    <w:abstractNumId w:val="23"/>
  </w:num>
  <w:num w:numId="134" w16cid:durableId="1753894619">
    <w:abstractNumId w:val="117"/>
  </w:num>
  <w:num w:numId="135" w16cid:durableId="2022858182">
    <w:abstractNumId w:val="63"/>
  </w:num>
  <w:num w:numId="136" w16cid:durableId="1848252730">
    <w:abstractNumId w:val="20"/>
  </w:num>
  <w:numIdMacAtCleanup w:val="1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tin Cahill [NESO]">
    <w15:presenceInfo w15:providerId="AD" w15:userId="S::Martin.Cahill1@neso.energy::92601b95-42ef-4839-9b57-02697efed4e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kJQpVs311n4dUSC1y/T1zxnOgGKW/D12t532NwYpc7tezrBSIVQ6g64Tu0HdyHjsWMOlIrAuLl2fPZ+V3RCj7g==" w:salt="eMByQ+Tsorp1Ta5da0Fn4w=="/>
  <w:defaultTabStop w:val="720"/>
  <w:characterSpacingControl w:val="doNotCompress"/>
  <w:savePreviewPicture/>
  <w:hdrShapeDefaults>
    <o:shapedefaults v:ext="edit" spidmax="2439">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67B"/>
    <w:rsid w:val="00013841"/>
    <w:rsid w:val="000142D3"/>
    <w:rsid w:val="0001527C"/>
    <w:rsid w:val="000154F5"/>
    <w:rsid w:val="00016605"/>
    <w:rsid w:val="00017715"/>
    <w:rsid w:val="00017BE1"/>
    <w:rsid w:val="00020007"/>
    <w:rsid w:val="00020EB4"/>
    <w:rsid w:val="00021C21"/>
    <w:rsid w:val="00021E17"/>
    <w:rsid w:val="000246FD"/>
    <w:rsid w:val="00024B0C"/>
    <w:rsid w:val="00025741"/>
    <w:rsid w:val="000276FD"/>
    <w:rsid w:val="00030743"/>
    <w:rsid w:val="00031E7C"/>
    <w:rsid w:val="00032C95"/>
    <w:rsid w:val="0003384A"/>
    <w:rsid w:val="00034153"/>
    <w:rsid w:val="00034387"/>
    <w:rsid w:val="0003584B"/>
    <w:rsid w:val="00040B1E"/>
    <w:rsid w:val="00044A37"/>
    <w:rsid w:val="0004506F"/>
    <w:rsid w:val="00045D32"/>
    <w:rsid w:val="000471C6"/>
    <w:rsid w:val="00051F30"/>
    <w:rsid w:val="00052684"/>
    <w:rsid w:val="00053399"/>
    <w:rsid w:val="0005343B"/>
    <w:rsid w:val="000540A5"/>
    <w:rsid w:val="0005481E"/>
    <w:rsid w:val="00055182"/>
    <w:rsid w:val="00056367"/>
    <w:rsid w:val="0005639D"/>
    <w:rsid w:val="00060742"/>
    <w:rsid w:val="00061669"/>
    <w:rsid w:val="00061B21"/>
    <w:rsid w:val="00061D6F"/>
    <w:rsid w:val="000651E2"/>
    <w:rsid w:val="00065C12"/>
    <w:rsid w:val="000663B0"/>
    <w:rsid w:val="00066BE1"/>
    <w:rsid w:val="00070AA7"/>
    <w:rsid w:val="00070E56"/>
    <w:rsid w:val="00071797"/>
    <w:rsid w:val="00072371"/>
    <w:rsid w:val="0007318B"/>
    <w:rsid w:val="00073C3B"/>
    <w:rsid w:val="00075548"/>
    <w:rsid w:val="00075922"/>
    <w:rsid w:val="00075ED1"/>
    <w:rsid w:val="00076176"/>
    <w:rsid w:val="00080873"/>
    <w:rsid w:val="00080C1B"/>
    <w:rsid w:val="00081F1C"/>
    <w:rsid w:val="00082F33"/>
    <w:rsid w:val="00082F88"/>
    <w:rsid w:val="0008330F"/>
    <w:rsid w:val="00084189"/>
    <w:rsid w:val="000853AA"/>
    <w:rsid w:val="00085B88"/>
    <w:rsid w:val="00085C3E"/>
    <w:rsid w:val="00086480"/>
    <w:rsid w:val="00086ADC"/>
    <w:rsid w:val="000909DD"/>
    <w:rsid w:val="00090F85"/>
    <w:rsid w:val="0009105F"/>
    <w:rsid w:val="00092143"/>
    <w:rsid w:val="00093B9A"/>
    <w:rsid w:val="00094004"/>
    <w:rsid w:val="0009434C"/>
    <w:rsid w:val="00094C68"/>
    <w:rsid w:val="00095307"/>
    <w:rsid w:val="00096D2C"/>
    <w:rsid w:val="00097BB1"/>
    <w:rsid w:val="00097CD6"/>
    <w:rsid w:val="000A0DF6"/>
    <w:rsid w:val="000A1611"/>
    <w:rsid w:val="000A1962"/>
    <w:rsid w:val="000A2588"/>
    <w:rsid w:val="000A2998"/>
    <w:rsid w:val="000A2CDE"/>
    <w:rsid w:val="000A2EE4"/>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C7BD5"/>
    <w:rsid w:val="000D036B"/>
    <w:rsid w:val="000D0E2E"/>
    <w:rsid w:val="000D1FBD"/>
    <w:rsid w:val="000D2008"/>
    <w:rsid w:val="000D6BC2"/>
    <w:rsid w:val="000E0440"/>
    <w:rsid w:val="000E0B66"/>
    <w:rsid w:val="000E1689"/>
    <w:rsid w:val="000E1C2E"/>
    <w:rsid w:val="000E32FD"/>
    <w:rsid w:val="000E4799"/>
    <w:rsid w:val="000E5D25"/>
    <w:rsid w:val="000E68CE"/>
    <w:rsid w:val="000E6AD1"/>
    <w:rsid w:val="000F13DA"/>
    <w:rsid w:val="000F21AB"/>
    <w:rsid w:val="000F71E1"/>
    <w:rsid w:val="00101D61"/>
    <w:rsid w:val="001022F7"/>
    <w:rsid w:val="001028D1"/>
    <w:rsid w:val="00102B50"/>
    <w:rsid w:val="001046D7"/>
    <w:rsid w:val="00104738"/>
    <w:rsid w:val="001048BC"/>
    <w:rsid w:val="00106384"/>
    <w:rsid w:val="00106DEA"/>
    <w:rsid w:val="00107BE4"/>
    <w:rsid w:val="001103A4"/>
    <w:rsid w:val="001108DA"/>
    <w:rsid w:val="00110BB3"/>
    <w:rsid w:val="0011135F"/>
    <w:rsid w:val="00111E40"/>
    <w:rsid w:val="00111FB6"/>
    <w:rsid w:val="001141A1"/>
    <w:rsid w:val="00114FE3"/>
    <w:rsid w:val="00120398"/>
    <w:rsid w:val="00122674"/>
    <w:rsid w:val="00123018"/>
    <w:rsid w:val="00123E50"/>
    <w:rsid w:val="0012409B"/>
    <w:rsid w:val="00125177"/>
    <w:rsid w:val="00125F43"/>
    <w:rsid w:val="0012779E"/>
    <w:rsid w:val="00130444"/>
    <w:rsid w:val="00131C05"/>
    <w:rsid w:val="00133479"/>
    <w:rsid w:val="00133FFB"/>
    <w:rsid w:val="001341C9"/>
    <w:rsid w:val="00134C1E"/>
    <w:rsid w:val="0013626D"/>
    <w:rsid w:val="00137774"/>
    <w:rsid w:val="00137C19"/>
    <w:rsid w:val="00143668"/>
    <w:rsid w:val="0014378F"/>
    <w:rsid w:val="0014590A"/>
    <w:rsid w:val="0014709C"/>
    <w:rsid w:val="00147FF2"/>
    <w:rsid w:val="00150509"/>
    <w:rsid w:val="0015055E"/>
    <w:rsid w:val="0015078D"/>
    <w:rsid w:val="00150C1E"/>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4CAD"/>
    <w:rsid w:val="00176CFB"/>
    <w:rsid w:val="001802E3"/>
    <w:rsid w:val="00181125"/>
    <w:rsid w:val="0018183A"/>
    <w:rsid w:val="00181C32"/>
    <w:rsid w:val="00181E7B"/>
    <w:rsid w:val="00182F31"/>
    <w:rsid w:val="001838D1"/>
    <w:rsid w:val="001860DC"/>
    <w:rsid w:val="00187265"/>
    <w:rsid w:val="00187455"/>
    <w:rsid w:val="00190457"/>
    <w:rsid w:val="001921D3"/>
    <w:rsid w:val="0019332B"/>
    <w:rsid w:val="0019420B"/>
    <w:rsid w:val="0019457B"/>
    <w:rsid w:val="0019581F"/>
    <w:rsid w:val="00195B72"/>
    <w:rsid w:val="00195BB1"/>
    <w:rsid w:val="00195F66"/>
    <w:rsid w:val="00196F2F"/>
    <w:rsid w:val="001A10C6"/>
    <w:rsid w:val="001A3ADB"/>
    <w:rsid w:val="001A4C0F"/>
    <w:rsid w:val="001A4F04"/>
    <w:rsid w:val="001A53F5"/>
    <w:rsid w:val="001B204F"/>
    <w:rsid w:val="001B3D38"/>
    <w:rsid w:val="001B541C"/>
    <w:rsid w:val="001B5657"/>
    <w:rsid w:val="001B6394"/>
    <w:rsid w:val="001B7106"/>
    <w:rsid w:val="001B748D"/>
    <w:rsid w:val="001B78C0"/>
    <w:rsid w:val="001C0596"/>
    <w:rsid w:val="001C2698"/>
    <w:rsid w:val="001C458A"/>
    <w:rsid w:val="001C58B8"/>
    <w:rsid w:val="001C6968"/>
    <w:rsid w:val="001C6E36"/>
    <w:rsid w:val="001C7554"/>
    <w:rsid w:val="001D0EAE"/>
    <w:rsid w:val="001D116A"/>
    <w:rsid w:val="001D503D"/>
    <w:rsid w:val="001D5592"/>
    <w:rsid w:val="001D5B4E"/>
    <w:rsid w:val="001D7697"/>
    <w:rsid w:val="001E0400"/>
    <w:rsid w:val="001E13B4"/>
    <w:rsid w:val="001E180A"/>
    <w:rsid w:val="001E1841"/>
    <w:rsid w:val="001E29AB"/>
    <w:rsid w:val="001E4A1C"/>
    <w:rsid w:val="001E4B3B"/>
    <w:rsid w:val="001F091A"/>
    <w:rsid w:val="001F0FA5"/>
    <w:rsid w:val="001F366D"/>
    <w:rsid w:val="001F4EFF"/>
    <w:rsid w:val="001F59A2"/>
    <w:rsid w:val="001F6798"/>
    <w:rsid w:val="001F6986"/>
    <w:rsid w:val="001F699A"/>
    <w:rsid w:val="00200710"/>
    <w:rsid w:val="00200BE2"/>
    <w:rsid w:val="002012F7"/>
    <w:rsid w:val="002014D6"/>
    <w:rsid w:val="002029B0"/>
    <w:rsid w:val="00204203"/>
    <w:rsid w:val="00204869"/>
    <w:rsid w:val="002052BD"/>
    <w:rsid w:val="002054C7"/>
    <w:rsid w:val="002064B2"/>
    <w:rsid w:val="00206ED8"/>
    <w:rsid w:val="00207883"/>
    <w:rsid w:val="00210C75"/>
    <w:rsid w:val="002149F1"/>
    <w:rsid w:val="00215769"/>
    <w:rsid w:val="00215BA8"/>
    <w:rsid w:val="002164E2"/>
    <w:rsid w:val="00220046"/>
    <w:rsid w:val="0022044D"/>
    <w:rsid w:val="00220C6E"/>
    <w:rsid w:val="00220D39"/>
    <w:rsid w:val="00221493"/>
    <w:rsid w:val="0022187C"/>
    <w:rsid w:val="00222CB5"/>
    <w:rsid w:val="00223151"/>
    <w:rsid w:val="0022315D"/>
    <w:rsid w:val="002233F5"/>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43E9"/>
    <w:rsid w:val="0024533E"/>
    <w:rsid w:val="0025076C"/>
    <w:rsid w:val="0025125A"/>
    <w:rsid w:val="00251585"/>
    <w:rsid w:val="002537D9"/>
    <w:rsid w:val="002557D6"/>
    <w:rsid w:val="002573BD"/>
    <w:rsid w:val="00257F38"/>
    <w:rsid w:val="002634CC"/>
    <w:rsid w:val="00263E6A"/>
    <w:rsid w:val="00264240"/>
    <w:rsid w:val="00264B18"/>
    <w:rsid w:val="0026757B"/>
    <w:rsid w:val="00267C3E"/>
    <w:rsid w:val="00270010"/>
    <w:rsid w:val="00271288"/>
    <w:rsid w:val="00271E09"/>
    <w:rsid w:val="0027251C"/>
    <w:rsid w:val="002750A8"/>
    <w:rsid w:val="002756D2"/>
    <w:rsid w:val="00275A72"/>
    <w:rsid w:val="00277DA2"/>
    <w:rsid w:val="00280DDC"/>
    <w:rsid w:val="00281D3F"/>
    <w:rsid w:val="00284AF5"/>
    <w:rsid w:val="00290678"/>
    <w:rsid w:val="0029222B"/>
    <w:rsid w:val="002929B6"/>
    <w:rsid w:val="00292F01"/>
    <w:rsid w:val="00292FD3"/>
    <w:rsid w:val="00295939"/>
    <w:rsid w:val="00296B2C"/>
    <w:rsid w:val="00296C2F"/>
    <w:rsid w:val="00297285"/>
    <w:rsid w:val="00297932"/>
    <w:rsid w:val="00297C5C"/>
    <w:rsid w:val="002A0453"/>
    <w:rsid w:val="002A0607"/>
    <w:rsid w:val="002A176E"/>
    <w:rsid w:val="002A1B08"/>
    <w:rsid w:val="002A2160"/>
    <w:rsid w:val="002A26AF"/>
    <w:rsid w:val="002A4368"/>
    <w:rsid w:val="002A5420"/>
    <w:rsid w:val="002A6AAB"/>
    <w:rsid w:val="002A774A"/>
    <w:rsid w:val="002B0D65"/>
    <w:rsid w:val="002B0EF7"/>
    <w:rsid w:val="002B11CD"/>
    <w:rsid w:val="002B1E48"/>
    <w:rsid w:val="002B208C"/>
    <w:rsid w:val="002B2B74"/>
    <w:rsid w:val="002B3B7F"/>
    <w:rsid w:val="002B4948"/>
    <w:rsid w:val="002B582D"/>
    <w:rsid w:val="002B6746"/>
    <w:rsid w:val="002B731C"/>
    <w:rsid w:val="002C12B4"/>
    <w:rsid w:val="002C2140"/>
    <w:rsid w:val="002C242E"/>
    <w:rsid w:val="002C2843"/>
    <w:rsid w:val="002C32C2"/>
    <w:rsid w:val="002C41D0"/>
    <w:rsid w:val="002C4529"/>
    <w:rsid w:val="002C4975"/>
    <w:rsid w:val="002C5306"/>
    <w:rsid w:val="002C7719"/>
    <w:rsid w:val="002D039F"/>
    <w:rsid w:val="002D09B0"/>
    <w:rsid w:val="002D0DCA"/>
    <w:rsid w:val="002D24ED"/>
    <w:rsid w:val="002D28A6"/>
    <w:rsid w:val="002D30BB"/>
    <w:rsid w:val="002D39D2"/>
    <w:rsid w:val="002D401D"/>
    <w:rsid w:val="002D52EC"/>
    <w:rsid w:val="002D5BBC"/>
    <w:rsid w:val="002D6A12"/>
    <w:rsid w:val="002D70D9"/>
    <w:rsid w:val="002D7AF1"/>
    <w:rsid w:val="002E0A87"/>
    <w:rsid w:val="002E2177"/>
    <w:rsid w:val="002E217F"/>
    <w:rsid w:val="002E27B8"/>
    <w:rsid w:val="002E4D34"/>
    <w:rsid w:val="002E5004"/>
    <w:rsid w:val="002E574D"/>
    <w:rsid w:val="002E5BC1"/>
    <w:rsid w:val="002E7341"/>
    <w:rsid w:val="002F229A"/>
    <w:rsid w:val="002F2682"/>
    <w:rsid w:val="002F2A99"/>
    <w:rsid w:val="002F3F7D"/>
    <w:rsid w:val="002F52A1"/>
    <w:rsid w:val="0030048A"/>
    <w:rsid w:val="0030181B"/>
    <w:rsid w:val="00302E57"/>
    <w:rsid w:val="0030331A"/>
    <w:rsid w:val="0030347C"/>
    <w:rsid w:val="003041B6"/>
    <w:rsid w:val="00305056"/>
    <w:rsid w:val="00305F7A"/>
    <w:rsid w:val="00306108"/>
    <w:rsid w:val="003115AC"/>
    <w:rsid w:val="003125BD"/>
    <w:rsid w:val="00312C5D"/>
    <w:rsid w:val="00312ECD"/>
    <w:rsid w:val="003133D5"/>
    <w:rsid w:val="0031627A"/>
    <w:rsid w:val="00316591"/>
    <w:rsid w:val="00320E3B"/>
    <w:rsid w:val="00322858"/>
    <w:rsid w:val="00323574"/>
    <w:rsid w:val="003236DA"/>
    <w:rsid w:val="00323FA7"/>
    <w:rsid w:val="00325397"/>
    <w:rsid w:val="00325888"/>
    <w:rsid w:val="00325A1E"/>
    <w:rsid w:val="00325B74"/>
    <w:rsid w:val="003309BF"/>
    <w:rsid w:val="00331FAC"/>
    <w:rsid w:val="00333C1A"/>
    <w:rsid w:val="00333CCF"/>
    <w:rsid w:val="003342D5"/>
    <w:rsid w:val="00335747"/>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50395"/>
    <w:rsid w:val="00350610"/>
    <w:rsid w:val="00350AA3"/>
    <w:rsid w:val="00350DFC"/>
    <w:rsid w:val="0035245A"/>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98C"/>
    <w:rsid w:val="00375D43"/>
    <w:rsid w:val="00382049"/>
    <w:rsid w:val="00382F96"/>
    <w:rsid w:val="00383133"/>
    <w:rsid w:val="003834EC"/>
    <w:rsid w:val="003842C9"/>
    <w:rsid w:val="003857B7"/>
    <w:rsid w:val="00386429"/>
    <w:rsid w:val="003903CE"/>
    <w:rsid w:val="00391019"/>
    <w:rsid w:val="00391B3A"/>
    <w:rsid w:val="00392BAF"/>
    <w:rsid w:val="003935C2"/>
    <w:rsid w:val="00394757"/>
    <w:rsid w:val="00394817"/>
    <w:rsid w:val="00394FE9"/>
    <w:rsid w:val="00395DA6"/>
    <w:rsid w:val="00395F98"/>
    <w:rsid w:val="00395FA1"/>
    <w:rsid w:val="00396C89"/>
    <w:rsid w:val="00397427"/>
    <w:rsid w:val="00397CFE"/>
    <w:rsid w:val="003A0CB9"/>
    <w:rsid w:val="003A12C5"/>
    <w:rsid w:val="003A15F7"/>
    <w:rsid w:val="003A1D6F"/>
    <w:rsid w:val="003A2E7E"/>
    <w:rsid w:val="003A3A2A"/>
    <w:rsid w:val="003A5D94"/>
    <w:rsid w:val="003A66EC"/>
    <w:rsid w:val="003A7185"/>
    <w:rsid w:val="003A74B8"/>
    <w:rsid w:val="003A78BB"/>
    <w:rsid w:val="003B066B"/>
    <w:rsid w:val="003B0C47"/>
    <w:rsid w:val="003B1B95"/>
    <w:rsid w:val="003B367B"/>
    <w:rsid w:val="003B412F"/>
    <w:rsid w:val="003B45D4"/>
    <w:rsid w:val="003B4E3F"/>
    <w:rsid w:val="003B5FA2"/>
    <w:rsid w:val="003B6ADC"/>
    <w:rsid w:val="003C0FFC"/>
    <w:rsid w:val="003C11FF"/>
    <w:rsid w:val="003C1558"/>
    <w:rsid w:val="003C1BDF"/>
    <w:rsid w:val="003C1F3F"/>
    <w:rsid w:val="003C372A"/>
    <w:rsid w:val="003C40F8"/>
    <w:rsid w:val="003C4DAD"/>
    <w:rsid w:val="003C5138"/>
    <w:rsid w:val="003C7839"/>
    <w:rsid w:val="003D0DCA"/>
    <w:rsid w:val="003D121C"/>
    <w:rsid w:val="003D1390"/>
    <w:rsid w:val="003D1763"/>
    <w:rsid w:val="003D20FC"/>
    <w:rsid w:val="003D2A23"/>
    <w:rsid w:val="003D35D0"/>
    <w:rsid w:val="003D53D0"/>
    <w:rsid w:val="003D5CCF"/>
    <w:rsid w:val="003D65C9"/>
    <w:rsid w:val="003D6656"/>
    <w:rsid w:val="003D6EF1"/>
    <w:rsid w:val="003E0308"/>
    <w:rsid w:val="003E0B88"/>
    <w:rsid w:val="003E111F"/>
    <w:rsid w:val="003E117E"/>
    <w:rsid w:val="003E296E"/>
    <w:rsid w:val="003E2BAA"/>
    <w:rsid w:val="003E2D8A"/>
    <w:rsid w:val="003E5CAA"/>
    <w:rsid w:val="003E63C6"/>
    <w:rsid w:val="003E6A40"/>
    <w:rsid w:val="003E6CAC"/>
    <w:rsid w:val="003E6EB7"/>
    <w:rsid w:val="003F0AD3"/>
    <w:rsid w:val="003F25F2"/>
    <w:rsid w:val="003F38EB"/>
    <w:rsid w:val="003F5BB4"/>
    <w:rsid w:val="003F789A"/>
    <w:rsid w:val="003F7BED"/>
    <w:rsid w:val="003F7E70"/>
    <w:rsid w:val="004004A5"/>
    <w:rsid w:val="004016CE"/>
    <w:rsid w:val="004020F1"/>
    <w:rsid w:val="0040275F"/>
    <w:rsid w:val="00403178"/>
    <w:rsid w:val="004034C0"/>
    <w:rsid w:val="00404699"/>
    <w:rsid w:val="00404A52"/>
    <w:rsid w:val="00405263"/>
    <w:rsid w:val="00406BC7"/>
    <w:rsid w:val="0040724B"/>
    <w:rsid w:val="00407433"/>
    <w:rsid w:val="0040792B"/>
    <w:rsid w:val="00412630"/>
    <w:rsid w:val="00412651"/>
    <w:rsid w:val="004138CB"/>
    <w:rsid w:val="00413FDF"/>
    <w:rsid w:val="00414AB2"/>
    <w:rsid w:val="00414DBA"/>
    <w:rsid w:val="004160D1"/>
    <w:rsid w:val="004166CE"/>
    <w:rsid w:val="00416DAA"/>
    <w:rsid w:val="004200AB"/>
    <w:rsid w:val="0042125C"/>
    <w:rsid w:val="00421691"/>
    <w:rsid w:val="0042186B"/>
    <w:rsid w:val="00423464"/>
    <w:rsid w:val="00423F50"/>
    <w:rsid w:val="004248A1"/>
    <w:rsid w:val="004248BD"/>
    <w:rsid w:val="004300B2"/>
    <w:rsid w:val="004301DD"/>
    <w:rsid w:val="00430AFD"/>
    <w:rsid w:val="00431122"/>
    <w:rsid w:val="00431E08"/>
    <w:rsid w:val="00432074"/>
    <w:rsid w:val="004325A6"/>
    <w:rsid w:val="004348B4"/>
    <w:rsid w:val="00434CF7"/>
    <w:rsid w:val="00436045"/>
    <w:rsid w:val="004414AE"/>
    <w:rsid w:val="00444C17"/>
    <w:rsid w:val="00445ACF"/>
    <w:rsid w:val="004473D1"/>
    <w:rsid w:val="00447ADB"/>
    <w:rsid w:val="00450BFC"/>
    <w:rsid w:val="00451EFD"/>
    <w:rsid w:val="00452493"/>
    <w:rsid w:val="004533CD"/>
    <w:rsid w:val="004543BD"/>
    <w:rsid w:val="0045707F"/>
    <w:rsid w:val="00457330"/>
    <w:rsid w:val="004573B7"/>
    <w:rsid w:val="00460ACC"/>
    <w:rsid w:val="00461271"/>
    <w:rsid w:val="004633BA"/>
    <w:rsid w:val="00463771"/>
    <w:rsid w:val="00465617"/>
    <w:rsid w:val="00465E2B"/>
    <w:rsid w:val="00466EF2"/>
    <w:rsid w:val="004678E9"/>
    <w:rsid w:val="00467B48"/>
    <w:rsid w:val="0047010D"/>
    <w:rsid w:val="00471666"/>
    <w:rsid w:val="00471C36"/>
    <w:rsid w:val="00471DFA"/>
    <w:rsid w:val="00473F13"/>
    <w:rsid w:val="00474511"/>
    <w:rsid w:val="00475DC1"/>
    <w:rsid w:val="0047668C"/>
    <w:rsid w:val="00476BC2"/>
    <w:rsid w:val="00477EDD"/>
    <w:rsid w:val="0048055F"/>
    <w:rsid w:val="00480975"/>
    <w:rsid w:val="00481157"/>
    <w:rsid w:val="00481A66"/>
    <w:rsid w:val="0048210A"/>
    <w:rsid w:val="00482A53"/>
    <w:rsid w:val="00482EF5"/>
    <w:rsid w:val="0048371C"/>
    <w:rsid w:val="00483C56"/>
    <w:rsid w:val="004872A4"/>
    <w:rsid w:val="00490DB2"/>
    <w:rsid w:val="00491670"/>
    <w:rsid w:val="0049181B"/>
    <w:rsid w:val="0049244D"/>
    <w:rsid w:val="004924A1"/>
    <w:rsid w:val="0049254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3FA0"/>
    <w:rsid w:val="004B41C8"/>
    <w:rsid w:val="004B43B1"/>
    <w:rsid w:val="004B4EBF"/>
    <w:rsid w:val="004B5822"/>
    <w:rsid w:val="004B5F93"/>
    <w:rsid w:val="004B79B6"/>
    <w:rsid w:val="004C0A17"/>
    <w:rsid w:val="004C263D"/>
    <w:rsid w:val="004C27AA"/>
    <w:rsid w:val="004C3870"/>
    <w:rsid w:val="004C41F4"/>
    <w:rsid w:val="004C5F40"/>
    <w:rsid w:val="004C6079"/>
    <w:rsid w:val="004D1129"/>
    <w:rsid w:val="004D1492"/>
    <w:rsid w:val="004D2270"/>
    <w:rsid w:val="004D3E10"/>
    <w:rsid w:val="004D3E99"/>
    <w:rsid w:val="004D456F"/>
    <w:rsid w:val="004D5049"/>
    <w:rsid w:val="004D5BDE"/>
    <w:rsid w:val="004D64D4"/>
    <w:rsid w:val="004D75B1"/>
    <w:rsid w:val="004D7893"/>
    <w:rsid w:val="004E050C"/>
    <w:rsid w:val="004E14D5"/>
    <w:rsid w:val="004E1617"/>
    <w:rsid w:val="004E2007"/>
    <w:rsid w:val="004E258A"/>
    <w:rsid w:val="004E272B"/>
    <w:rsid w:val="004E2792"/>
    <w:rsid w:val="004E4BB0"/>
    <w:rsid w:val="004E4D0B"/>
    <w:rsid w:val="004E65CB"/>
    <w:rsid w:val="004E6767"/>
    <w:rsid w:val="004F04BE"/>
    <w:rsid w:val="004F0744"/>
    <w:rsid w:val="004F0D7B"/>
    <w:rsid w:val="004F1D20"/>
    <w:rsid w:val="004F224B"/>
    <w:rsid w:val="004F2F2F"/>
    <w:rsid w:val="004F4D8C"/>
    <w:rsid w:val="004F4E43"/>
    <w:rsid w:val="004F6CD4"/>
    <w:rsid w:val="00500B9F"/>
    <w:rsid w:val="005026DC"/>
    <w:rsid w:val="005041A8"/>
    <w:rsid w:val="005042D7"/>
    <w:rsid w:val="005051E2"/>
    <w:rsid w:val="00505BFE"/>
    <w:rsid w:val="00506025"/>
    <w:rsid w:val="005062B9"/>
    <w:rsid w:val="005065B4"/>
    <w:rsid w:val="00506BD8"/>
    <w:rsid w:val="00507655"/>
    <w:rsid w:val="0051009C"/>
    <w:rsid w:val="00510332"/>
    <w:rsid w:val="00511C82"/>
    <w:rsid w:val="005136DF"/>
    <w:rsid w:val="00513C11"/>
    <w:rsid w:val="0051434E"/>
    <w:rsid w:val="005144F7"/>
    <w:rsid w:val="0051549B"/>
    <w:rsid w:val="00516792"/>
    <w:rsid w:val="00516986"/>
    <w:rsid w:val="00517153"/>
    <w:rsid w:val="00517921"/>
    <w:rsid w:val="00517D22"/>
    <w:rsid w:val="0052118D"/>
    <w:rsid w:val="005215B8"/>
    <w:rsid w:val="00521D85"/>
    <w:rsid w:val="005227B6"/>
    <w:rsid w:val="005242E7"/>
    <w:rsid w:val="00527073"/>
    <w:rsid w:val="00530B59"/>
    <w:rsid w:val="00530DCB"/>
    <w:rsid w:val="00531739"/>
    <w:rsid w:val="0053373B"/>
    <w:rsid w:val="00535658"/>
    <w:rsid w:val="005373D4"/>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52A7"/>
    <w:rsid w:val="0055572B"/>
    <w:rsid w:val="0055621A"/>
    <w:rsid w:val="00556643"/>
    <w:rsid w:val="00556B6D"/>
    <w:rsid w:val="0055729B"/>
    <w:rsid w:val="00560643"/>
    <w:rsid w:val="00560A61"/>
    <w:rsid w:val="005629FC"/>
    <w:rsid w:val="00562EA5"/>
    <w:rsid w:val="00563069"/>
    <w:rsid w:val="00563B70"/>
    <w:rsid w:val="005642D4"/>
    <w:rsid w:val="00564D03"/>
    <w:rsid w:val="00570612"/>
    <w:rsid w:val="0057184C"/>
    <w:rsid w:val="00574926"/>
    <w:rsid w:val="00575253"/>
    <w:rsid w:val="0057536C"/>
    <w:rsid w:val="00575BE1"/>
    <w:rsid w:val="00576D2E"/>
    <w:rsid w:val="005804AC"/>
    <w:rsid w:val="005807B0"/>
    <w:rsid w:val="00582787"/>
    <w:rsid w:val="00583592"/>
    <w:rsid w:val="00584370"/>
    <w:rsid w:val="00584CA2"/>
    <w:rsid w:val="005861D2"/>
    <w:rsid w:val="00586A0C"/>
    <w:rsid w:val="00587248"/>
    <w:rsid w:val="0058733E"/>
    <w:rsid w:val="00587C69"/>
    <w:rsid w:val="00591582"/>
    <w:rsid w:val="00592E3C"/>
    <w:rsid w:val="0059411E"/>
    <w:rsid w:val="005955A7"/>
    <w:rsid w:val="005957C5"/>
    <w:rsid w:val="0059672F"/>
    <w:rsid w:val="00596C05"/>
    <w:rsid w:val="00597054"/>
    <w:rsid w:val="005A0BF8"/>
    <w:rsid w:val="005A19CD"/>
    <w:rsid w:val="005A2CC7"/>
    <w:rsid w:val="005A2CD8"/>
    <w:rsid w:val="005A2EEF"/>
    <w:rsid w:val="005A4338"/>
    <w:rsid w:val="005A4381"/>
    <w:rsid w:val="005A509C"/>
    <w:rsid w:val="005A5243"/>
    <w:rsid w:val="005A5B3D"/>
    <w:rsid w:val="005A5FAA"/>
    <w:rsid w:val="005A6027"/>
    <w:rsid w:val="005B083A"/>
    <w:rsid w:val="005B18DE"/>
    <w:rsid w:val="005B2D94"/>
    <w:rsid w:val="005B3509"/>
    <w:rsid w:val="005B3B24"/>
    <w:rsid w:val="005B50FC"/>
    <w:rsid w:val="005B5723"/>
    <w:rsid w:val="005C08F8"/>
    <w:rsid w:val="005C2463"/>
    <w:rsid w:val="005C297A"/>
    <w:rsid w:val="005C372A"/>
    <w:rsid w:val="005C53F8"/>
    <w:rsid w:val="005C70EE"/>
    <w:rsid w:val="005C7335"/>
    <w:rsid w:val="005C7D33"/>
    <w:rsid w:val="005D19B8"/>
    <w:rsid w:val="005D1FF8"/>
    <w:rsid w:val="005D4A32"/>
    <w:rsid w:val="005D4BD5"/>
    <w:rsid w:val="005D65CB"/>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5F72BD"/>
    <w:rsid w:val="00603909"/>
    <w:rsid w:val="00603A8D"/>
    <w:rsid w:val="00605222"/>
    <w:rsid w:val="00605D50"/>
    <w:rsid w:val="00605EEB"/>
    <w:rsid w:val="00606811"/>
    <w:rsid w:val="00606B4B"/>
    <w:rsid w:val="00607624"/>
    <w:rsid w:val="00607DD1"/>
    <w:rsid w:val="00613037"/>
    <w:rsid w:val="006135CA"/>
    <w:rsid w:val="00616202"/>
    <w:rsid w:val="00616497"/>
    <w:rsid w:val="006202BD"/>
    <w:rsid w:val="00620899"/>
    <w:rsid w:val="00621CFF"/>
    <w:rsid w:val="006224F9"/>
    <w:rsid w:val="006227D4"/>
    <w:rsid w:val="00623401"/>
    <w:rsid w:val="0062538E"/>
    <w:rsid w:val="00626F3D"/>
    <w:rsid w:val="00626FF4"/>
    <w:rsid w:val="006314E9"/>
    <w:rsid w:val="00633166"/>
    <w:rsid w:val="006351F1"/>
    <w:rsid w:val="0063593C"/>
    <w:rsid w:val="00635A0F"/>
    <w:rsid w:val="00636937"/>
    <w:rsid w:val="00636B4B"/>
    <w:rsid w:val="00637448"/>
    <w:rsid w:val="00637B81"/>
    <w:rsid w:val="00637D45"/>
    <w:rsid w:val="00642013"/>
    <w:rsid w:val="006442BB"/>
    <w:rsid w:val="006451A9"/>
    <w:rsid w:val="00645EEE"/>
    <w:rsid w:val="00647393"/>
    <w:rsid w:val="00647551"/>
    <w:rsid w:val="006500AC"/>
    <w:rsid w:val="00651050"/>
    <w:rsid w:val="00651A74"/>
    <w:rsid w:val="00651FE5"/>
    <w:rsid w:val="00652BCE"/>
    <w:rsid w:val="00652DF9"/>
    <w:rsid w:val="00652F98"/>
    <w:rsid w:val="00653116"/>
    <w:rsid w:val="006540F7"/>
    <w:rsid w:val="00655C86"/>
    <w:rsid w:val="0065678A"/>
    <w:rsid w:val="00661A29"/>
    <w:rsid w:val="00661D12"/>
    <w:rsid w:val="0066360B"/>
    <w:rsid w:val="00663813"/>
    <w:rsid w:val="00664194"/>
    <w:rsid w:val="006661FE"/>
    <w:rsid w:val="00666691"/>
    <w:rsid w:val="00670075"/>
    <w:rsid w:val="006719F9"/>
    <w:rsid w:val="00671A6F"/>
    <w:rsid w:val="0067236C"/>
    <w:rsid w:val="00672ACD"/>
    <w:rsid w:val="00673260"/>
    <w:rsid w:val="00673402"/>
    <w:rsid w:val="006734D7"/>
    <w:rsid w:val="00673787"/>
    <w:rsid w:val="00673A51"/>
    <w:rsid w:val="00674102"/>
    <w:rsid w:val="0067469E"/>
    <w:rsid w:val="00674903"/>
    <w:rsid w:val="006765D4"/>
    <w:rsid w:val="00677152"/>
    <w:rsid w:val="00677E2A"/>
    <w:rsid w:val="00677E2F"/>
    <w:rsid w:val="00680E92"/>
    <w:rsid w:val="006810D2"/>
    <w:rsid w:val="00681F2C"/>
    <w:rsid w:val="006823C2"/>
    <w:rsid w:val="00682F27"/>
    <w:rsid w:val="00683DC5"/>
    <w:rsid w:val="00685546"/>
    <w:rsid w:val="006866A3"/>
    <w:rsid w:val="00686E13"/>
    <w:rsid w:val="006900E0"/>
    <w:rsid w:val="00690503"/>
    <w:rsid w:val="006927B0"/>
    <w:rsid w:val="0069316C"/>
    <w:rsid w:val="00693B79"/>
    <w:rsid w:val="006945A8"/>
    <w:rsid w:val="006946B3"/>
    <w:rsid w:val="006959AC"/>
    <w:rsid w:val="00696521"/>
    <w:rsid w:val="00696812"/>
    <w:rsid w:val="00696F06"/>
    <w:rsid w:val="00697C43"/>
    <w:rsid w:val="00697E3A"/>
    <w:rsid w:val="006A197E"/>
    <w:rsid w:val="006A1D16"/>
    <w:rsid w:val="006A1F56"/>
    <w:rsid w:val="006A278A"/>
    <w:rsid w:val="006A371E"/>
    <w:rsid w:val="006A3752"/>
    <w:rsid w:val="006A4386"/>
    <w:rsid w:val="006A5219"/>
    <w:rsid w:val="006A5CC8"/>
    <w:rsid w:val="006A66A8"/>
    <w:rsid w:val="006B00F9"/>
    <w:rsid w:val="006B0F27"/>
    <w:rsid w:val="006B1F85"/>
    <w:rsid w:val="006B24C1"/>
    <w:rsid w:val="006B2613"/>
    <w:rsid w:val="006B31E4"/>
    <w:rsid w:val="006B4167"/>
    <w:rsid w:val="006B4300"/>
    <w:rsid w:val="006B4863"/>
    <w:rsid w:val="006B4C0B"/>
    <w:rsid w:val="006B5709"/>
    <w:rsid w:val="006B5D12"/>
    <w:rsid w:val="006B5DCE"/>
    <w:rsid w:val="006B5F20"/>
    <w:rsid w:val="006B6B42"/>
    <w:rsid w:val="006C0884"/>
    <w:rsid w:val="006C1189"/>
    <w:rsid w:val="006C16EF"/>
    <w:rsid w:val="006C2BB7"/>
    <w:rsid w:val="006C2F95"/>
    <w:rsid w:val="006C4E6E"/>
    <w:rsid w:val="006C5B63"/>
    <w:rsid w:val="006C6A17"/>
    <w:rsid w:val="006C71FC"/>
    <w:rsid w:val="006C7B2E"/>
    <w:rsid w:val="006C7CB4"/>
    <w:rsid w:val="006D045D"/>
    <w:rsid w:val="006D2144"/>
    <w:rsid w:val="006D2410"/>
    <w:rsid w:val="006D35AB"/>
    <w:rsid w:val="006D4585"/>
    <w:rsid w:val="006D51F0"/>
    <w:rsid w:val="006D5F93"/>
    <w:rsid w:val="006D63A4"/>
    <w:rsid w:val="006D65EA"/>
    <w:rsid w:val="006D6620"/>
    <w:rsid w:val="006D6A4F"/>
    <w:rsid w:val="006D6A9B"/>
    <w:rsid w:val="006D73E1"/>
    <w:rsid w:val="006D74BD"/>
    <w:rsid w:val="006D7D4C"/>
    <w:rsid w:val="006D7DFA"/>
    <w:rsid w:val="006E0226"/>
    <w:rsid w:val="006E26F4"/>
    <w:rsid w:val="006E32EF"/>
    <w:rsid w:val="006E3D1B"/>
    <w:rsid w:val="006E5985"/>
    <w:rsid w:val="006E5C35"/>
    <w:rsid w:val="006E70FE"/>
    <w:rsid w:val="006F0386"/>
    <w:rsid w:val="006F079A"/>
    <w:rsid w:val="006F14BF"/>
    <w:rsid w:val="006F30B6"/>
    <w:rsid w:val="006F358C"/>
    <w:rsid w:val="006F3C14"/>
    <w:rsid w:val="006F5408"/>
    <w:rsid w:val="006F60A4"/>
    <w:rsid w:val="006F6420"/>
    <w:rsid w:val="006F6E25"/>
    <w:rsid w:val="006F724B"/>
    <w:rsid w:val="006F73F1"/>
    <w:rsid w:val="006F7749"/>
    <w:rsid w:val="0070040E"/>
    <w:rsid w:val="0070178B"/>
    <w:rsid w:val="00701869"/>
    <w:rsid w:val="0070228B"/>
    <w:rsid w:val="007043F0"/>
    <w:rsid w:val="00705B85"/>
    <w:rsid w:val="0070624C"/>
    <w:rsid w:val="00706D2A"/>
    <w:rsid w:val="0071031B"/>
    <w:rsid w:val="0071064D"/>
    <w:rsid w:val="00712929"/>
    <w:rsid w:val="0071323A"/>
    <w:rsid w:val="0071353E"/>
    <w:rsid w:val="00714132"/>
    <w:rsid w:val="00714521"/>
    <w:rsid w:val="00716A64"/>
    <w:rsid w:val="0071796A"/>
    <w:rsid w:val="00721036"/>
    <w:rsid w:val="007215E2"/>
    <w:rsid w:val="0072207D"/>
    <w:rsid w:val="0072325E"/>
    <w:rsid w:val="007256FB"/>
    <w:rsid w:val="0072601A"/>
    <w:rsid w:val="00726A1A"/>
    <w:rsid w:val="0072701C"/>
    <w:rsid w:val="00727508"/>
    <w:rsid w:val="00730189"/>
    <w:rsid w:val="007308B1"/>
    <w:rsid w:val="00731A49"/>
    <w:rsid w:val="007326E1"/>
    <w:rsid w:val="007359BF"/>
    <w:rsid w:val="00736357"/>
    <w:rsid w:val="0073635E"/>
    <w:rsid w:val="0073672A"/>
    <w:rsid w:val="007367C8"/>
    <w:rsid w:val="00736E6F"/>
    <w:rsid w:val="00742A6F"/>
    <w:rsid w:val="007444C1"/>
    <w:rsid w:val="0074490D"/>
    <w:rsid w:val="00744A2D"/>
    <w:rsid w:val="00744C93"/>
    <w:rsid w:val="00746685"/>
    <w:rsid w:val="007466E5"/>
    <w:rsid w:val="00746ACE"/>
    <w:rsid w:val="0074786A"/>
    <w:rsid w:val="007478CA"/>
    <w:rsid w:val="00750305"/>
    <w:rsid w:val="00750515"/>
    <w:rsid w:val="00750BD6"/>
    <w:rsid w:val="00751860"/>
    <w:rsid w:val="00752EF9"/>
    <w:rsid w:val="00754363"/>
    <w:rsid w:val="00755045"/>
    <w:rsid w:val="007554C5"/>
    <w:rsid w:val="0075582A"/>
    <w:rsid w:val="007567C6"/>
    <w:rsid w:val="00756F23"/>
    <w:rsid w:val="00757191"/>
    <w:rsid w:val="00760BF4"/>
    <w:rsid w:val="00761DDD"/>
    <w:rsid w:val="007629DF"/>
    <w:rsid w:val="007633D6"/>
    <w:rsid w:val="007648E3"/>
    <w:rsid w:val="007665A2"/>
    <w:rsid w:val="0076689C"/>
    <w:rsid w:val="007678BC"/>
    <w:rsid w:val="00771769"/>
    <w:rsid w:val="0077275A"/>
    <w:rsid w:val="00777514"/>
    <w:rsid w:val="00777549"/>
    <w:rsid w:val="0077794D"/>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3AB0"/>
    <w:rsid w:val="007A4ACA"/>
    <w:rsid w:val="007A6B72"/>
    <w:rsid w:val="007A70D2"/>
    <w:rsid w:val="007A7251"/>
    <w:rsid w:val="007A779E"/>
    <w:rsid w:val="007B2018"/>
    <w:rsid w:val="007B23F0"/>
    <w:rsid w:val="007B24F0"/>
    <w:rsid w:val="007B271D"/>
    <w:rsid w:val="007B32ED"/>
    <w:rsid w:val="007B475A"/>
    <w:rsid w:val="007B476E"/>
    <w:rsid w:val="007B738F"/>
    <w:rsid w:val="007B7E29"/>
    <w:rsid w:val="007C1506"/>
    <w:rsid w:val="007C1D2F"/>
    <w:rsid w:val="007C2603"/>
    <w:rsid w:val="007C291F"/>
    <w:rsid w:val="007C2D90"/>
    <w:rsid w:val="007C5811"/>
    <w:rsid w:val="007C5D3E"/>
    <w:rsid w:val="007C610D"/>
    <w:rsid w:val="007C720F"/>
    <w:rsid w:val="007C72D9"/>
    <w:rsid w:val="007C79D4"/>
    <w:rsid w:val="007C7A71"/>
    <w:rsid w:val="007D0CB1"/>
    <w:rsid w:val="007D12A4"/>
    <w:rsid w:val="007D1C17"/>
    <w:rsid w:val="007D2726"/>
    <w:rsid w:val="007D27B2"/>
    <w:rsid w:val="007D4C51"/>
    <w:rsid w:val="007D4E26"/>
    <w:rsid w:val="007D57C6"/>
    <w:rsid w:val="007D60DE"/>
    <w:rsid w:val="007D63D6"/>
    <w:rsid w:val="007D6DDD"/>
    <w:rsid w:val="007D756E"/>
    <w:rsid w:val="007E0AED"/>
    <w:rsid w:val="007E0B4D"/>
    <w:rsid w:val="007E0B98"/>
    <w:rsid w:val="007E1149"/>
    <w:rsid w:val="007E1397"/>
    <w:rsid w:val="007E1464"/>
    <w:rsid w:val="007E24B0"/>
    <w:rsid w:val="007E2ED4"/>
    <w:rsid w:val="007E2F78"/>
    <w:rsid w:val="007E3371"/>
    <w:rsid w:val="007E41E1"/>
    <w:rsid w:val="007E41F3"/>
    <w:rsid w:val="007E5CAE"/>
    <w:rsid w:val="007E6F6B"/>
    <w:rsid w:val="007E7918"/>
    <w:rsid w:val="007E7977"/>
    <w:rsid w:val="007E7A4C"/>
    <w:rsid w:val="007E7CA7"/>
    <w:rsid w:val="007F14BA"/>
    <w:rsid w:val="007F2EC2"/>
    <w:rsid w:val="007F2EF6"/>
    <w:rsid w:val="007F327B"/>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17ABC"/>
    <w:rsid w:val="008208A2"/>
    <w:rsid w:val="00821371"/>
    <w:rsid w:val="0082217D"/>
    <w:rsid w:val="00822EF2"/>
    <w:rsid w:val="00823644"/>
    <w:rsid w:val="00823C31"/>
    <w:rsid w:val="00824A12"/>
    <w:rsid w:val="0082585E"/>
    <w:rsid w:val="00825F9A"/>
    <w:rsid w:val="008262A6"/>
    <w:rsid w:val="00827319"/>
    <w:rsid w:val="00830A2F"/>
    <w:rsid w:val="00831722"/>
    <w:rsid w:val="008327BA"/>
    <w:rsid w:val="008349E4"/>
    <w:rsid w:val="008354F9"/>
    <w:rsid w:val="008402D2"/>
    <w:rsid w:val="00841028"/>
    <w:rsid w:val="0084177B"/>
    <w:rsid w:val="00842051"/>
    <w:rsid w:val="008426A8"/>
    <w:rsid w:val="008430AA"/>
    <w:rsid w:val="00843205"/>
    <w:rsid w:val="0084619F"/>
    <w:rsid w:val="0084697A"/>
    <w:rsid w:val="00846AB2"/>
    <w:rsid w:val="00846E2C"/>
    <w:rsid w:val="0084710D"/>
    <w:rsid w:val="00847558"/>
    <w:rsid w:val="00847D54"/>
    <w:rsid w:val="00847D60"/>
    <w:rsid w:val="00847F65"/>
    <w:rsid w:val="008500C2"/>
    <w:rsid w:val="008508EA"/>
    <w:rsid w:val="0085136A"/>
    <w:rsid w:val="00851B49"/>
    <w:rsid w:val="008531E0"/>
    <w:rsid w:val="00853210"/>
    <w:rsid w:val="008533CE"/>
    <w:rsid w:val="00853AFE"/>
    <w:rsid w:val="00856517"/>
    <w:rsid w:val="008578BF"/>
    <w:rsid w:val="00857FA3"/>
    <w:rsid w:val="00860DFC"/>
    <w:rsid w:val="00863BCC"/>
    <w:rsid w:val="0086499D"/>
    <w:rsid w:val="008660F3"/>
    <w:rsid w:val="00866553"/>
    <w:rsid w:val="008670B8"/>
    <w:rsid w:val="00867CAD"/>
    <w:rsid w:val="00867F74"/>
    <w:rsid w:val="00870007"/>
    <w:rsid w:val="00871D19"/>
    <w:rsid w:val="00872009"/>
    <w:rsid w:val="008739C8"/>
    <w:rsid w:val="0087436C"/>
    <w:rsid w:val="00874479"/>
    <w:rsid w:val="00875CE5"/>
    <w:rsid w:val="00876C32"/>
    <w:rsid w:val="008771C1"/>
    <w:rsid w:val="00877C18"/>
    <w:rsid w:val="0088097C"/>
    <w:rsid w:val="00880C9B"/>
    <w:rsid w:val="0088314C"/>
    <w:rsid w:val="0088682A"/>
    <w:rsid w:val="00887323"/>
    <w:rsid w:val="00890F74"/>
    <w:rsid w:val="00891782"/>
    <w:rsid w:val="00891D82"/>
    <w:rsid w:val="008930C5"/>
    <w:rsid w:val="008937F3"/>
    <w:rsid w:val="008944F9"/>
    <w:rsid w:val="0089492D"/>
    <w:rsid w:val="008958D0"/>
    <w:rsid w:val="008A0C80"/>
    <w:rsid w:val="008A12ED"/>
    <w:rsid w:val="008A34B1"/>
    <w:rsid w:val="008A41B4"/>
    <w:rsid w:val="008A4333"/>
    <w:rsid w:val="008A52EF"/>
    <w:rsid w:val="008A5980"/>
    <w:rsid w:val="008A5E19"/>
    <w:rsid w:val="008A5EFE"/>
    <w:rsid w:val="008A757A"/>
    <w:rsid w:val="008A7917"/>
    <w:rsid w:val="008B0F3B"/>
    <w:rsid w:val="008B1237"/>
    <w:rsid w:val="008B145C"/>
    <w:rsid w:val="008B23C8"/>
    <w:rsid w:val="008B31AB"/>
    <w:rsid w:val="008B3985"/>
    <w:rsid w:val="008B51C1"/>
    <w:rsid w:val="008B5963"/>
    <w:rsid w:val="008B6E7E"/>
    <w:rsid w:val="008B78A2"/>
    <w:rsid w:val="008B7A92"/>
    <w:rsid w:val="008B7CE8"/>
    <w:rsid w:val="008C2077"/>
    <w:rsid w:val="008C2E33"/>
    <w:rsid w:val="008C48A2"/>
    <w:rsid w:val="008C6418"/>
    <w:rsid w:val="008C753D"/>
    <w:rsid w:val="008C75D2"/>
    <w:rsid w:val="008C764F"/>
    <w:rsid w:val="008C7849"/>
    <w:rsid w:val="008C7930"/>
    <w:rsid w:val="008D0C0A"/>
    <w:rsid w:val="008D221F"/>
    <w:rsid w:val="008D32D0"/>
    <w:rsid w:val="008D35CC"/>
    <w:rsid w:val="008D452B"/>
    <w:rsid w:val="008D4C3D"/>
    <w:rsid w:val="008D4EB3"/>
    <w:rsid w:val="008D5875"/>
    <w:rsid w:val="008D6696"/>
    <w:rsid w:val="008D6F81"/>
    <w:rsid w:val="008E0D97"/>
    <w:rsid w:val="008E187F"/>
    <w:rsid w:val="008E4447"/>
    <w:rsid w:val="008E4E8F"/>
    <w:rsid w:val="008E602D"/>
    <w:rsid w:val="008E6154"/>
    <w:rsid w:val="008E6787"/>
    <w:rsid w:val="008E7C49"/>
    <w:rsid w:val="008F0093"/>
    <w:rsid w:val="008F1FAC"/>
    <w:rsid w:val="008F30A4"/>
    <w:rsid w:val="008F35CD"/>
    <w:rsid w:val="008F4104"/>
    <w:rsid w:val="008F4A77"/>
    <w:rsid w:val="008F6753"/>
    <w:rsid w:val="008F6EB5"/>
    <w:rsid w:val="008F7950"/>
    <w:rsid w:val="008F7B8E"/>
    <w:rsid w:val="008F7F8E"/>
    <w:rsid w:val="00900219"/>
    <w:rsid w:val="00901074"/>
    <w:rsid w:val="009016A7"/>
    <w:rsid w:val="0090277D"/>
    <w:rsid w:val="00905501"/>
    <w:rsid w:val="0090584A"/>
    <w:rsid w:val="00910880"/>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2F84"/>
    <w:rsid w:val="009233EF"/>
    <w:rsid w:val="009255AE"/>
    <w:rsid w:val="00926573"/>
    <w:rsid w:val="00926FF8"/>
    <w:rsid w:val="00927287"/>
    <w:rsid w:val="00927A79"/>
    <w:rsid w:val="00932331"/>
    <w:rsid w:val="0093242F"/>
    <w:rsid w:val="009333B0"/>
    <w:rsid w:val="0093365D"/>
    <w:rsid w:val="00934D82"/>
    <w:rsid w:val="00936BA0"/>
    <w:rsid w:val="009400D7"/>
    <w:rsid w:val="00940400"/>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4C52"/>
    <w:rsid w:val="009551E7"/>
    <w:rsid w:val="009562C9"/>
    <w:rsid w:val="009566C8"/>
    <w:rsid w:val="00961D29"/>
    <w:rsid w:val="00962C1D"/>
    <w:rsid w:val="0096393D"/>
    <w:rsid w:val="00963ACF"/>
    <w:rsid w:val="009703D8"/>
    <w:rsid w:val="00970793"/>
    <w:rsid w:val="00970A62"/>
    <w:rsid w:val="0097267F"/>
    <w:rsid w:val="00972B2F"/>
    <w:rsid w:val="00972D89"/>
    <w:rsid w:val="00972EE1"/>
    <w:rsid w:val="00974630"/>
    <w:rsid w:val="00975DD3"/>
    <w:rsid w:val="00977DA6"/>
    <w:rsid w:val="0098033A"/>
    <w:rsid w:val="009805B2"/>
    <w:rsid w:val="009806F4"/>
    <w:rsid w:val="00981346"/>
    <w:rsid w:val="00981555"/>
    <w:rsid w:val="009824D9"/>
    <w:rsid w:val="009828F6"/>
    <w:rsid w:val="00983E71"/>
    <w:rsid w:val="00985C6F"/>
    <w:rsid w:val="0098730D"/>
    <w:rsid w:val="009908E5"/>
    <w:rsid w:val="00990C38"/>
    <w:rsid w:val="009919C1"/>
    <w:rsid w:val="00991D0A"/>
    <w:rsid w:val="00992F4B"/>
    <w:rsid w:val="009945F1"/>
    <w:rsid w:val="00995826"/>
    <w:rsid w:val="00996984"/>
    <w:rsid w:val="009A1F6F"/>
    <w:rsid w:val="009A3C7E"/>
    <w:rsid w:val="009A41B8"/>
    <w:rsid w:val="009A444A"/>
    <w:rsid w:val="009A4588"/>
    <w:rsid w:val="009A4AC7"/>
    <w:rsid w:val="009A50FC"/>
    <w:rsid w:val="009A6CCE"/>
    <w:rsid w:val="009B0384"/>
    <w:rsid w:val="009B0B2F"/>
    <w:rsid w:val="009B125F"/>
    <w:rsid w:val="009B2BC9"/>
    <w:rsid w:val="009B35AF"/>
    <w:rsid w:val="009B4836"/>
    <w:rsid w:val="009B4B15"/>
    <w:rsid w:val="009B51C4"/>
    <w:rsid w:val="009B58DA"/>
    <w:rsid w:val="009C02D4"/>
    <w:rsid w:val="009C155B"/>
    <w:rsid w:val="009C285C"/>
    <w:rsid w:val="009C31FE"/>
    <w:rsid w:val="009C34F8"/>
    <w:rsid w:val="009C3D34"/>
    <w:rsid w:val="009C44B5"/>
    <w:rsid w:val="009C5308"/>
    <w:rsid w:val="009C7DC2"/>
    <w:rsid w:val="009D09FB"/>
    <w:rsid w:val="009D0A5F"/>
    <w:rsid w:val="009D228C"/>
    <w:rsid w:val="009D2C92"/>
    <w:rsid w:val="009D34CE"/>
    <w:rsid w:val="009D4692"/>
    <w:rsid w:val="009D46C1"/>
    <w:rsid w:val="009D5398"/>
    <w:rsid w:val="009D7043"/>
    <w:rsid w:val="009D712C"/>
    <w:rsid w:val="009D77D0"/>
    <w:rsid w:val="009D7CF2"/>
    <w:rsid w:val="009E2B8E"/>
    <w:rsid w:val="009E34FC"/>
    <w:rsid w:val="009E3C4D"/>
    <w:rsid w:val="009E3D5B"/>
    <w:rsid w:val="009E4396"/>
    <w:rsid w:val="009E58D0"/>
    <w:rsid w:val="009E6C12"/>
    <w:rsid w:val="009F03CF"/>
    <w:rsid w:val="009F0DBB"/>
    <w:rsid w:val="009F2C1F"/>
    <w:rsid w:val="009F3325"/>
    <w:rsid w:val="009F4C43"/>
    <w:rsid w:val="009F5B7D"/>
    <w:rsid w:val="009F6228"/>
    <w:rsid w:val="009F6F05"/>
    <w:rsid w:val="00A01346"/>
    <w:rsid w:val="00A01A20"/>
    <w:rsid w:val="00A02E8D"/>
    <w:rsid w:val="00A0723F"/>
    <w:rsid w:val="00A0735F"/>
    <w:rsid w:val="00A104FD"/>
    <w:rsid w:val="00A12DA3"/>
    <w:rsid w:val="00A13011"/>
    <w:rsid w:val="00A136FB"/>
    <w:rsid w:val="00A13C24"/>
    <w:rsid w:val="00A13C3F"/>
    <w:rsid w:val="00A159A2"/>
    <w:rsid w:val="00A1624B"/>
    <w:rsid w:val="00A17843"/>
    <w:rsid w:val="00A17F95"/>
    <w:rsid w:val="00A2374C"/>
    <w:rsid w:val="00A23B0B"/>
    <w:rsid w:val="00A242ED"/>
    <w:rsid w:val="00A243CF"/>
    <w:rsid w:val="00A25FAC"/>
    <w:rsid w:val="00A260E8"/>
    <w:rsid w:val="00A269BB"/>
    <w:rsid w:val="00A26D6E"/>
    <w:rsid w:val="00A26EBA"/>
    <w:rsid w:val="00A27AD2"/>
    <w:rsid w:val="00A30D36"/>
    <w:rsid w:val="00A31C25"/>
    <w:rsid w:val="00A3322B"/>
    <w:rsid w:val="00A33404"/>
    <w:rsid w:val="00A35A24"/>
    <w:rsid w:val="00A35D8E"/>
    <w:rsid w:val="00A37E34"/>
    <w:rsid w:val="00A408E8"/>
    <w:rsid w:val="00A4110A"/>
    <w:rsid w:val="00A425F0"/>
    <w:rsid w:val="00A426A8"/>
    <w:rsid w:val="00A43A74"/>
    <w:rsid w:val="00A43F37"/>
    <w:rsid w:val="00A444C4"/>
    <w:rsid w:val="00A44A14"/>
    <w:rsid w:val="00A4556B"/>
    <w:rsid w:val="00A460EA"/>
    <w:rsid w:val="00A477A1"/>
    <w:rsid w:val="00A51008"/>
    <w:rsid w:val="00A51DF5"/>
    <w:rsid w:val="00A52324"/>
    <w:rsid w:val="00A524A5"/>
    <w:rsid w:val="00A54327"/>
    <w:rsid w:val="00A5544B"/>
    <w:rsid w:val="00A557C8"/>
    <w:rsid w:val="00A56602"/>
    <w:rsid w:val="00A56F53"/>
    <w:rsid w:val="00A57AE6"/>
    <w:rsid w:val="00A60ADE"/>
    <w:rsid w:val="00A60C1E"/>
    <w:rsid w:val="00A610D7"/>
    <w:rsid w:val="00A61936"/>
    <w:rsid w:val="00A61B24"/>
    <w:rsid w:val="00A621E2"/>
    <w:rsid w:val="00A62DC9"/>
    <w:rsid w:val="00A64159"/>
    <w:rsid w:val="00A64600"/>
    <w:rsid w:val="00A64695"/>
    <w:rsid w:val="00A6550F"/>
    <w:rsid w:val="00A65E8F"/>
    <w:rsid w:val="00A661A0"/>
    <w:rsid w:val="00A67157"/>
    <w:rsid w:val="00A708F7"/>
    <w:rsid w:val="00A709C9"/>
    <w:rsid w:val="00A71D21"/>
    <w:rsid w:val="00A71D47"/>
    <w:rsid w:val="00A720A3"/>
    <w:rsid w:val="00A72E77"/>
    <w:rsid w:val="00A74B44"/>
    <w:rsid w:val="00A750AE"/>
    <w:rsid w:val="00A75760"/>
    <w:rsid w:val="00A75F73"/>
    <w:rsid w:val="00A76523"/>
    <w:rsid w:val="00A76831"/>
    <w:rsid w:val="00A77828"/>
    <w:rsid w:val="00A77D51"/>
    <w:rsid w:val="00A77F01"/>
    <w:rsid w:val="00A810E9"/>
    <w:rsid w:val="00A81E49"/>
    <w:rsid w:val="00A82DAC"/>
    <w:rsid w:val="00A8384D"/>
    <w:rsid w:val="00A8473F"/>
    <w:rsid w:val="00A847AE"/>
    <w:rsid w:val="00A84FFC"/>
    <w:rsid w:val="00A90A9E"/>
    <w:rsid w:val="00A90B24"/>
    <w:rsid w:val="00A91EFB"/>
    <w:rsid w:val="00A92058"/>
    <w:rsid w:val="00A928A1"/>
    <w:rsid w:val="00A93C4B"/>
    <w:rsid w:val="00A941B0"/>
    <w:rsid w:val="00A9606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B701C"/>
    <w:rsid w:val="00AC0A24"/>
    <w:rsid w:val="00AC23EB"/>
    <w:rsid w:val="00AC348D"/>
    <w:rsid w:val="00AC3C64"/>
    <w:rsid w:val="00AC468B"/>
    <w:rsid w:val="00AC540E"/>
    <w:rsid w:val="00AC5EAC"/>
    <w:rsid w:val="00AC600E"/>
    <w:rsid w:val="00AC618F"/>
    <w:rsid w:val="00AC6D3D"/>
    <w:rsid w:val="00AD0F03"/>
    <w:rsid w:val="00AD258C"/>
    <w:rsid w:val="00AD36CF"/>
    <w:rsid w:val="00AD424E"/>
    <w:rsid w:val="00AD44F8"/>
    <w:rsid w:val="00AD4D0F"/>
    <w:rsid w:val="00AD5284"/>
    <w:rsid w:val="00AD53F5"/>
    <w:rsid w:val="00AD54A3"/>
    <w:rsid w:val="00AD78B6"/>
    <w:rsid w:val="00AE1775"/>
    <w:rsid w:val="00AE2264"/>
    <w:rsid w:val="00AE31B3"/>
    <w:rsid w:val="00AE4625"/>
    <w:rsid w:val="00AE51DF"/>
    <w:rsid w:val="00AE5F8B"/>
    <w:rsid w:val="00AE6ECD"/>
    <w:rsid w:val="00AE7CD0"/>
    <w:rsid w:val="00AF0A3B"/>
    <w:rsid w:val="00AF317E"/>
    <w:rsid w:val="00AF3362"/>
    <w:rsid w:val="00AF54A6"/>
    <w:rsid w:val="00AF5AA5"/>
    <w:rsid w:val="00AF6E2A"/>
    <w:rsid w:val="00AF7A03"/>
    <w:rsid w:val="00B01374"/>
    <w:rsid w:val="00B01557"/>
    <w:rsid w:val="00B03AD7"/>
    <w:rsid w:val="00B03C57"/>
    <w:rsid w:val="00B054F4"/>
    <w:rsid w:val="00B0633C"/>
    <w:rsid w:val="00B0688E"/>
    <w:rsid w:val="00B106E3"/>
    <w:rsid w:val="00B12F97"/>
    <w:rsid w:val="00B13104"/>
    <w:rsid w:val="00B14F6D"/>
    <w:rsid w:val="00B16789"/>
    <w:rsid w:val="00B167F9"/>
    <w:rsid w:val="00B168C5"/>
    <w:rsid w:val="00B17E9C"/>
    <w:rsid w:val="00B210CC"/>
    <w:rsid w:val="00B23D6E"/>
    <w:rsid w:val="00B25B32"/>
    <w:rsid w:val="00B2673A"/>
    <w:rsid w:val="00B26FB0"/>
    <w:rsid w:val="00B30064"/>
    <w:rsid w:val="00B305D1"/>
    <w:rsid w:val="00B30701"/>
    <w:rsid w:val="00B311F1"/>
    <w:rsid w:val="00B31A9B"/>
    <w:rsid w:val="00B32C59"/>
    <w:rsid w:val="00B32DAE"/>
    <w:rsid w:val="00B37C80"/>
    <w:rsid w:val="00B40480"/>
    <w:rsid w:val="00B409AA"/>
    <w:rsid w:val="00B422BA"/>
    <w:rsid w:val="00B43B83"/>
    <w:rsid w:val="00B43C4C"/>
    <w:rsid w:val="00B44DF1"/>
    <w:rsid w:val="00B45820"/>
    <w:rsid w:val="00B458A9"/>
    <w:rsid w:val="00B460F0"/>
    <w:rsid w:val="00B461C7"/>
    <w:rsid w:val="00B4625D"/>
    <w:rsid w:val="00B47149"/>
    <w:rsid w:val="00B47185"/>
    <w:rsid w:val="00B50E8D"/>
    <w:rsid w:val="00B53537"/>
    <w:rsid w:val="00B546AB"/>
    <w:rsid w:val="00B55928"/>
    <w:rsid w:val="00B56030"/>
    <w:rsid w:val="00B565EB"/>
    <w:rsid w:val="00B578B9"/>
    <w:rsid w:val="00B57BEB"/>
    <w:rsid w:val="00B57C5E"/>
    <w:rsid w:val="00B57E67"/>
    <w:rsid w:val="00B61C50"/>
    <w:rsid w:val="00B620E6"/>
    <w:rsid w:val="00B62160"/>
    <w:rsid w:val="00B6524B"/>
    <w:rsid w:val="00B66869"/>
    <w:rsid w:val="00B676A0"/>
    <w:rsid w:val="00B67876"/>
    <w:rsid w:val="00B706FA"/>
    <w:rsid w:val="00B7155A"/>
    <w:rsid w:val="00B7295F"/>
    <w:rsid w:val="00B735F7"/>
    <w:rsid w:val="00B73601"/>
    <w:rsid w:val="00B74EA0"/>
    <w:rsid w:val="00B75484"/>
    <w:rsid w:val="00B779B8"/>
    <w:rsid w:val="00B803E8"/>
    <w:rsid w:val="00B80D6C"/>
    <w:rsid w:val="00B80E7C"/>
    <w:rsid w:val="00B81469"/>
    <w:rsid w:val="00B81F3E"/>
    <w:rsid w:val="00B82C43"/>
    <w:rsid w:val="00B84041"/>
    <w:rsid w:val="00B84929"/>
    <w:rsid w:val="00B84A56"/>
    <w:rsid w:val="00B84D59"/>
    <w:rsid w:val="00B90109"/>
    <w:rsid w:val="00B91015"/>
    <w:rsid w:val="00B91556"/>
    <w:rsid w:val="00B9211E"/>
    <w:rsid w:val="00B92767"/>
    <w:rsid w:val="00B92D94"/>
    <w:rsid w:val="00B9472A"/>
    <w:rsid w:val="00B948D2"/>
    <w:rsid w:val="00B94D9B"/>
    <w:rsid w:val="00B95645"/>
    <w:rsid w:val="00B9593E"/>
    <w:rsid w:val="00B95F46"/>
    <w:rsid w:val="00B967A4"/>
    <w:rsid w:val="00BA0D43"/>
    <w:rsid w:val="00BA0F30"/>
    <w:rsid w:val="00BA467C"/>
    <w:rsid w:val="00BA475E"/>
    <w:rsid w:val="00BA68BC"/>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3764"/>
    <w:rsid w:val="00BD47AE"/>
    <w:rsid w:val="00BD5A63"/>
    <w:rsid w:val="00BD5DCC"/>
    <w:rsid w:val="00BD6D7B"/>
    <w:rsid w:val="00BD7639"/>
    <w:rsid w:val="00BE028C"/>
    <w:rsid w:val="00BE09DE"/>
    <w:rsid w:val="00BE1EF5"/>
    <w:rsid w:val="00BE2F6D"/>
    <w:rsid w:val="00BE42E7"/>
    <w:rsid w:val="00BE5093"/>
    <w:rsid w:val="00BE6DB9"/>
    <w:rsid w:val="00BE6E2B"/>
    <w:rsid w:val="00BE7A99"/>
    <w:rsid w:val="00BE7E10"/>
    <w:rsid w:val="00BF05C0"/>
    <w:rsid w:val="00BF1F3C"/>
    <w:rsid w:val="00BF2359"/>
    <w:rsid w:val="00BF295A"/>
    <w:rsid w:val="00BF45BE"/>
    <w:rsid w:val="00BF4F42"/>
    <w:rsid w:val="00BF5410"/>
    <w:rsid w:val="00BF5E0F"/>
    <w:rsid w:val="00BF7A56"/>
    <w:rsid w:val="00BF7FFC"/>
    <w:rsid w:val="00C01B3E"/>
    <w:rsid w:val="00C01FEE"/>
    <w:rsid w:val="00C035E1"/>
    <w:rsid w:val="00C05812"/>
    <w:rsid w:val="00C05D48"/>
    <w:rsid w:val="00C06DA3"/>
    <w:rsid w:val="00C074CB"/>
    <w:rsid w:val="00C1000D"/>
    <w:rsid w:val="00C112D5"/>
    <w:rsid w:val="00C14B15"/>
    <w:rsid w:val="00C15DAC"/>
    <w:rsid w:val="00C160D8"/>
    <w:rsid w:val="00C161D6"/>
    <w:rsid w:val="00C16730"/>
    <w:rsid w:val="00C16FF6"/>
    <w:rsid w:val="00C17195"/>
    <w:rsid w:val="00C2170F"/>
    <w:rsid w:val="00C2737D"/>
    <w:rsid w:val="00C27495"/>
    <w:rsid w:val="00C27B78"/>
    <w:rsid w:val="00C33349"/>
    <w:rsid w:val="00C33BCE"/>
    <w:rsid w:val="00C341CB"/>
    <w:rsid w:val="00C3439A"/>
    <w:rsid w:val="00C34419"/>
    <w:rsid w:val="00C3462C"/>
    <w:rsid w:val="00C358C6"/>
    <w:rsid w:val="00C35AAC"/>
    <w:rsid w:val="00C403C3"/>
    <w:rsid w:val="00C410E4"/>
    <w:rsid w:val="00C41580"/>
    <w:rsid w:val="00C41A51"/>
    <w:rsid w:val="00C41DDA"/>
    <w:rsid w:val="00C41DFE"/>
    <w:rsid w:val="00C4433A"/>
    <w:rsid w:val="00C44C55"/>
    <w:rsid w:val="00C46BF0"/>
    <w:rsid w:val="00C47792"/>
    <w:rsid w:val="00C479F5"/>
    <w:rsid w:val="00C52A02"/>
    <w:rsid w:val="00C5375F"/>
    <w:rsid w:val="00C53AE4"/>
    <w:rsid w:val="00C55213"/>
    <w:rsid w:val="00C5521A"/>
    <w:rsid w:val="00C55CFA"/>
    <w:rsid w:val="00C6295C"/>
    <w:rsid w:val="00C62E57"/>
    <w:rsid w:val="00C638C8"/>
    <w:rsid w:val="00C702D5"/>
    <w:rsid w:val="00C7082A"/>
    <w:rsid w:val="00C717A1"/>
    <w:rsid w:val="00C7182F"/>
    <w:rsid w:val="00C72253"/>
    <w:rsid w:val="00C74036"/>
    <w:rsid w:val="00C74329"/>
    <w:rsid w:val="00C74B1C"/>
    <w:rsid w:val="00C74DFF"/>
    <w:rsid w:val="00C75AE8"/>
    <w:rsid w:val="00C77E4E"/>
    <w:rsid w:val="00C806F5"/>
    <w:rsid w:val="00C81A86"/>
    <w:rsid w:val="00C821B6"/>
    <w:rsid w:val="00C837D0"/>
    <w:rsid w:val="00C83E55"/>
    <w:rsid w:val="00C8502A"/>
    <w:rsid w:val="00C874D4"/>
    <w:rsid w:val="00C9180B"/>
    <w:rsid w:val="00C919C3"/>
    <w:rsid w:val="00C92B3A"/>
    <w:rsid w:val="00C93FFD"/>
    <w:rsid w:val="00C94367"/>
    <w:rsid w:val="00C95284"/>
    <w:rsid w:val="00C97A30"/>
    <w:rsid w:val="00C97CD7"/>
    <w:rsid w:val="00CA187F"/>
    <w:rsid w:val="00CA2479"/>
    <w:rsid w:val="00CA36A5"/>
    <w:rsid w:val="00CA3D82"/>
    <w:rsid w:val="00CA55B8"/>
    <w:rsid w:val="00CA5D21"/>
    <w:rsid w:val="00CA6350"/>
    <w:rsid w:val="00CA7CF6"/>
    <w:rsid w:val="00CB05E6"/>
    <w:rsid w:val="00CB17B6"/>
    <w:rsid w:val="00CB35D4"/>
    <w:rsid w:val="00CB3D58"/>
    <w:rsid w:val="00CB4D34"/>
    <w:rsid w:val="00CB53F1"/>
    <w:rsid w:val="00CB7B9C"/>
    <w:rsid w:val="00CC06E2"/>
    <w:rsid w:val="00CC1C89"/>
    <w:rsid w:val="00CC3A5E"/>
    <w:rsid w:val="00CC434B"/>
    <w:rsid w:val="00CC504D"/>
    <w:rsid w:val="00CC6B05"/>
    <w:rsid w:val="00CC75ED"/>
    <w:rsid w:val="00CC788D"/>
    <w:rsid w:val="00CC7FD9"/>
    <w:rsid w:val="00CD1AA7"/>
    <w:rsid w:val="00CD2158"/>
    <w:rsid w:val="00CD2194"/>
    <w:rsid w:val="00CD2281"/>
    <w:rsid w:val="00CD249E"/>
    <w:rsid w:val="00CD34B2"/>
    <w:rsid w:val="00CD51DF"/>
    <w:rsid w:val="00CD5631"/>
    <w:rsid w:val="00CD7EAE"/>
    <w:rsid w:val="00CE0CC2"/>
    <w:rsid w:val="00CE1445"/>
    <w:rsid w:val="00CE215C"/>
    <w:rsid w:val="00CE27F0"/>
    <w:rsid w:val="00CE41F8"/>
    <w:rsid w:val="00CE525F"/>
    <w:rsid w:val="00CE5BF7"/>
    <w:rsid w:val="00CE6664"/>
    <w:rsid w:val="00CE6D0E"/>
    <w:rsid w:val="00CF0DEA"/>
    <w:rsid w:val="00CF2825"/>
    <w:rsid w:val="00CF2AE8"/>
    <w:rsid w:val="00CF4FA2"/>
    <w:rsid w:val="00CF59CE"/>
    <w:rsid w:val="00CF7454"/>
    <w:rsid w:val="00D00ABB"/>
    <w:rsid w:val="00D0569D"/>
    <w:rsid w:val="00D0594A"/>
    <w:rsid w:val="00D05991"/>
    <w:rsid w:val="00D05C06"/>
    <w:rsid w:val="00D06B38"/>
    <w:rsid w:val="00D06EF8"/>
    <w:rsid w:val="00D07065"/>
    <w:rsid w:val="00D070C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1CBE"/>
    <w:rsid w:val="00D32E1C"/>
    <w:rsid w:val="00D33473"/>
    <w:rsid w:val="00D3349D"/>
    <w:rsid w:val="00D34926"/>
    <w:rsid w:val="00D350EA"/>
    <w:rsid w:val="00D35D10"/>
    <w:rsid w:val="00D37344"/>
    <w:rsid w:val="00D37423"/>
    <w:rsid w:val="00D37EB1"/>
    <w:rsid w:val="00D37F43"/>
    <w:rsid w:val="00D406CB"/>
    <w:rsid w:val="00D40AA4"/>
    <w:rsid w:val="00D41819"/>
    <w:rsid w:val="00D41B33"/>
    <w:rsid w:val="00D444F4"/>
    <w:rsid w:val="00D448EC"/>
    <w:rsid w:val="00D44C2B"/>
    <w:rsid w:val="00D44C32"/>
    <w:rsid w:val="00D463A2"/>
    <w:rsid w:val="00D476DC"/>
    <w:rsid w:val="00D52F2A"/>
    <w:rsid w:val="00D53C08"/>
    <w:rsid w:val="00D541A4"/>
    <w:rsid w:val="00D547BD"/>
    <w:rsid w:val="00D55123"/>
    <w:rsid w:val="00D55BCA"/>
    <w:rsid w:val="00D600D2"/>
    <w:rsid w:val="00D60ED8"/>
    <w:rsid w:val="00D61777"/>
    <w:rsid w:val="00D62C23"/>
    <w:rsid w:val="00D630B8"/>
    <w:rsid w:val="00D63717"/>
    <w:rsid w:val="00D63A3E"/>
    <w:rsid w:val="00D63EDC"/>
    <w:rsid w:val="00D66087"/>
    <w:rsid w:val="00D67CE5"/>
    <w:rsid w:val="00D70E63"/>
    <w:rsid w:val="00D71BE4"/>
    <w:rsid w:val="00D72100"/>
    <w:rsid w:val="00D73042"/>
    <w:rsid w:val="00D75582"/>
    <w:rsid w:val="00D766F8"/>
    <w:rsid w:val="00D774A6"/>
    <w:rsid w:val="00D853E1"/>
    <w:rsid w:val="00D867C6"/>
    <w:rsid w:val="00D870CB"/>
    <w:rsid w:val="00D873F5"/>
    <w:rsid w:val="00D87CAD"/>
    <w:rsid w:val="00D87E3C"/>
    <w:rsid w:val="00D91593"/>
    <w:rsid w:val="00D918DB"/>
    <w:rsid w:val="00D92E11"/>
    <w:rsid w:val="00D93FD2"/>
    <w:rsid w:val="00D9404E"/>
    <w:rsid w:val="00D947D7"/>
    <w:rsid w:val="00D94DA4"/>
    <w:rsid w:val="00D96BFD"/>
    <w:rsid w:val="00DA097F"/>
    <w:rsid w:val="00DA1626"/>
    <w:rsid w:val="00DA19F8"/>
    <w:rsid w:val="00DA30D5"/>
    <w:rsid w:val="00DB08DB"/>
    <w:rsid w:val="00DB0E0F"/>
    <w:rsid w:val="00DB41F6"/>
    <w:rsid w:val="00DC0A93"/>
    <w:rsid w:val="00DC0E17"/>
    <w:rsid w:val="00DC19BE"/>
    <w:rsid w:val="00DC2B49"/>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E092B"/>
    <w:rsid w:val="00DE0A84"/>
    <w:rsid w:val="00DE0FF5"/>
    <w:rsid w:val="00DE1547"/>
    <w:rsid w:val="00DE185B"/>
    <w:rsid w:val="00DE1CFA"/>
    <w:rsid w:val="00DE3079"/>
    <w:rsid w:val="00DE3D5D"/>
    <w:rsid w:val="00DE4067"/>
    <w:rsid w:val="00DE54BC"/>
    <w:rsid w:val="00DE5581"/>
    <w:rsid w:val="00DE56D4"/>
    <w:rsid w:val="00DE5778"/>
    <w:rsid w:val="00DE7A5F"/>
    <w:rsid w:val="00DF086A"/>
    <w:rsid w:val="00DF0B75"/>
    <w:rsid w:val="00DF4BD8"/>
    <w:rsid w:val="00DF5B3C"/>
    <w:rsid w:val="00DF62E1"/>
    <w:rsid w:val="00DF66F2"/>
    <w:rsid w:val="00E0016A"/>
    <w:rsid w:val="00E007C4"/>
    <w:rsid w:val="00E010AE"/>
    <w:rsid w:val="00E015A6"/>
    <w:rsid w:val="00E01D0C"/>
    <w:rsid w:val="00E02294"/>
    <w:rsid w:val="00E027A5"/>
    <w:rsid w:val="00E02B41"/>
    <w:rsid w:val="00E047CA"/>
    <w:rsid w:val="00E04FDF"/>
    <w:rsid w:val="00E10235"/>
    <w:rsid w:val="00E1024D"/>
    <w:rsid w:val="00E10A34"/>
    <w:rsid w:val="00E10A94"/>
    <w:rsid w:val="00E12888"/>
    <w:rsid w:val="00E12D83"/>
    <w:rsid w:val="00E142D7"/>
    <w:rsid w:val="00E15CC6"/>
    <w:rsid w:val="00E16D8D"/>
    <w:rsid w:val="00E17023"/>
    <w:rsid w:val="00E211CA"/>
    <w:rsid w:val="00E21F32"/>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1C1A"/>
    <w:rsid w:val="00E53EE8"/>
    <w:rsid w:val="00E54B26"/>
    <w:rsid w:val="00E554C1"/>
    <w:rsid w:val="00E555C4"/>
    <w:rsid w:val="00E60050"/>
    <w:rsid w:val="00E60CFB"/>
    <w:rsid w:val="00E61701"/>
    <w:rsid w:val="00E622C1"/>
    <w:rsid w:val="00E62FF1"/>
    <w:rsid w:val="00E63783"/>
    <w:rsid w:val="00E6748D"/>
    <w:rsid w:val="00E7116D"/>
    <w:rsid w:val="00E71EB2"/>
    <w:rsid w:val="00E72575"/>
    <w:rsid w:val="00E72852"/>
    <w:rsid w:val="00E72991"/>
    <w:rsid w:val="00E73491"/>
    <w:rsid w:val="00E73CBD"/>
    <w:rsid w:val="00E74741"/>
    <w:rsid w:val="00E74CDC"/>
    <w:rsid w:val="00E754B3"/>
    <w:rsid w:val="00E759D5"/>
    <w:rsid w:val="00E75DBA"/>
    <w:rsid w:val="00E76804"/>
    <w:rsid w:val="00E80315"/>
    <w:rsid w:val="00E85F3A"/>
    <w:rsid w:val="00E86998"/>
    <w:rsid w:val="00E9580B"/>
    <w:rsid w:val="00EA0845"/>
    <w:rsid w:val="00EA1182"/>
    <w:rsid w:val="00EA233F"/>
    <w:rsid w:val="00EA23C8"/>
    <w:rsid w:val="00EA3272"/>
    <w:rsid w:val="00EA4AB9"/>
    <w:rsid w:val="00EA4C8C"/>
    <w:rsid w:val="00EA4CFC"/>
    <w:rsid w:val="00EA5708"/>
    <w:rsid w:val="00EA701B"/>
    <w:rsid w:val="00EB0565"/>
    <w:rsid w:val="00EB0F4D"/>
    <w:rsid w:val="00EB17A0"/>
    <w:rsid w:val="00EB1F51"/>
    <w:rsid w:val="00EB2B4D"/>
    <w:rsid w:val="00EB2E46"/>
    <w:rsid w:val="00EB3CC4"/>
    <w:rsid w:val="00EB421F"/>
    <w:rsid w:val="00EB45DF"/>
    <w:rsid w:val="00EB52A8"/>
    <w:rsid w:val="00EB54ED"/>
    <w:rsid w:val="00EB62F1"/>
    <w:rsid w:val="00EB7AB8"/>
    <w:rsid w:val="00EC2488"/>
    <w:rsid w:val="00EC2B2C"/>
    <w:rsid w:val="00EC3304"/>
    <w:rsid w:val="00EC41FE"/>
    <w:rsid w:val="00EC4667"/>
    <w:rsid w:val="00EC4C9C"/>
    <w:rsid w:val="00EC5051"/>
    <w:rsid w:val="00EC58DC"/>
    <w:rsid w:val="00EC6107"/>
    <w:rsid w:val="00EC63B4"/>
    <w:rsid w:val="00EC7A06"/>
    <w:rsid w:val="00EC7EB8"/>
    <w:rsid w:val="00EC7FF0"/>
    <w:rsid w:val="00ED025F"/>
    <w:rsid w:val="00ED287D"/>
    <w:rsid w:val="00ED3B0C"/>
    <w:rsid w:val="00ED453A"/>
    <w:rsid w:val="00ED4E81"/>
    <w:rsid w:val="00ED6012"/>
    <w:rsid w:val="00ED732D"/>
    <w:rsid w:val="00ED7932"/>
    <w:rsid w:val="00ED7BC6"/>
    <w:rsid w:val="00EE0723"/>
    <w:rsid w:val="00EE0B9F"/>
    <w:rsid w:val="00EE1A26"/>
    <w:rsid w:val="00EE1BA9"/>
    <w:rsid w:val="00EE1CB3"/>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0CEA"/>
    <w:rsid w:val="00F0305D"/>
    <w:rsid w:val="00F03AA9"/>
    <w:rsid w:val="00F04573"/>
    <w:rsid w:val="00F077FC"/>
    <w:rsid w:val="00F10ECF"/>
    <w:rsid w:val="00F1129E"/>
    <w:rsid w:val="00F113C3"/>
    <w:rsid w:val="00F130CD"/>
    <w:rsid w:val="00F13DFF"/>
    <w:rsid w:val="00F15344"/>
    <w:rsid w:val="00F164E7"/>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41E1"/>
    <w:rsid w:val="00F45A59"/>
    <w:rsid w:val="00F45C2C"/>
    <w:rsid w:val="00F4692E"/>
    <w:rsid w:val="00F47392"/>
    <w:rsid w:val="00F473ED"/>
    <w:rsid w:val="00F503D2"/>
    <w:rsid w:val="00F504C5"/>
    <w:rsid w:val="00F50EF8"/>
    <w:rsid w:val="00F517DF"/>
    <w:rsid w:val="00F51AF2"/>
    <w:rsid w:val="00F53A23"/>
    <w:rsid w:val="00F55994"/>
    <w:rsid w:val="00F567F6"/>
    <w:rsid w:val="00F570C9"/>
    <w:rsid w:val="00F571CE"/>
    <w:rsid w:val="00F60387"/>
    <w:rsid w:val="00F611AB"/>
    <w:rsid w:val="00F611EC"/>
    <w:rsid w:val="00F6133A"/>
    <w:rsid w:val="00F61A2D"/>
    <w:rsid w:val="00F62A6A"/>
    <w:rsid w:val="00F635CA"/>
    <w:rsid w:val="00F63D25"/>
    <w:rsid w:val="00F6692C"/>
    <w:rsid w:val="00F67229"/>
    <w:rsid w:val="00F679B5"/>
    <w:rsid w:val="00F71176"/>
    <w:rsid w:val="00F72006"/>
    <w:rsid w:val="00F75086"/>
    <w:rsid w:val="00F802C0"/>
    <w:rsid w:val="00F80330"/>
    <w:rsid w:val="00F816B6"/>
    <w:rsid w:val="00F827F1"/>
    <w:rsid w:val="00F83388"/>
    <w:rsid w:val="00F83BEF"/>
    <w:rsid w:val="00F84AFD"/>
    <w:rsid w:val="00F84FEB"/>
    <w:rsid w:val="00F857FC"/>
    <w:rsid w:val="00F87E62"/>
    <w:rsid w:val="00F90F1F"/>
    <w:rsid w:val="00F923C8"/>
    <w:rsid w:val="00F93404"/>
    <w:rsid w:val="00F934A1"/>
    <w:rsid w:val="00F93B38"/>
    <w:rsid w:val="00F94E02"/>
    <w:rsid w:val="00F96061"/>
    <w:rsid w:val="00F965F1"/>
    <w:rsid w:val="00F9675C"/>
    <w:rsid w:val="00F97BBE"/>
    <w:rsid w:val="00FA3CB9"/>
    <w:rsid w:val="00FA4C1B"/>
    <w:rsid w:val="00FA5582"/>
    <w:rsid w:val="00FA700B"/>
    <w:rsid w:val="00FA7F65"/>
    <w:rsid w:val="00FB06A6"/>
    <w:rsid w:val="00FB095B"/>
    <w:rsid w:val="00FB1938"/>
    <w:rsid w:val="00FB26F9"/>
    <w:rsid w:val="00FB3088"/>
    <w:rsid w:val="00FB332F"/>
    <w:rsid w:val="00FB4EAB"/>
    <w:rsid w:val="00FB596B"/>
    <w:rsid w:val="00FB7522"/>
    <w:rsid w:val="00FB7C95"/>
    <w:rsid w:val="00FC0225"/>
    <w:rsid w:val="00FC06A6"/>
    <w:rsid w:val="00FC26A3"/>
    <w:rsid w:val="00FC411B"/>
    <w:rsid w:val="00FC5CF1"/>
    <w:rsid w:val="00FC681D"/>
    <w:rsid w:val="00FC6E66"/>
    <w:rsid w:val="00FC7A0A"/>
    <w:rsid w:val="00FD015B"/>
    <w:rsid w:val="00FD45AD"/>
    <w:rsid w:val="00FD48AB"/>
    <w:rsid w:val="00FD4D58"/>
    <w:rsid w:val="00FD5479"/>
    <w:rsid w:val="00FD7575"/>
    <w:rsid w:val="00FD7A82"/>
    <w:rsid w:val="00FD7F84"/>
    <w:rsid w:val="00FE033C"/>
    <w:rsid w:val="00FE0CEE"/>
    <w:rsid w:val="00FE1561"/>
    <w:rsid w:val="00FE1D97"/>
    <w:rsid w:val="00FE209D"/>
    <w:rsid w:val="00FE224B"/>
    <w:rsid w:val="00FE28BE"/>
    <w:rsid w:val="00FE3C7A"/>
    <w:rsid w:val="00FE4289"/>
    <w:rsid w:val="00FE4A4D"/>
    <w:rsid w:val="00FE4FD7"/>
    <w:rsid w:val="00FE7D64"/>
    <w:rsid w:val="00FF152E"/>
    <w:rsid w:val="00FF4DFF"/>
    <w:rsid w:val="00FF6069"/>
    <w:rsid w:val="00FF64E9"/>
    <w:rsid w:val="00FF69D9"/>
    <w:rsid w:val="00FF6F52"/>
    <w:rsid w:val="00FF777E"/>
    <w:rsid w:val="00FF7BCA"/>
    <w:rsid w:val="0125CD33"/>
    <w:rsid w:val="014B1709"/>
    <w:rsid w:val="01597651"/>
    <w:rsid w:val="016369B9"/>
    <w:rsid w:val="01A2409D"/>
    <w:rsid w:val="01B5202E"/>
    <w:rsid w:val="028EB3A6"/>
    <w:rsid w:val="03259192"/>
    <w:rsid w:val="03871E98"/>
    <w:rsid w:val="03BF3AA6"/>
    <w:rsid w:val="03F8566B"/>
    <w:rsid w:val="04B85E7F"/>
    <w:rsid w:val="05EF1ED4"/>
    <w:rsid w:val="062A8FEA"/>
    <w:rsid w:val="0683CB22"/>
    <w:rsid w:val="06D9DBBB"/>
    <w:rsid w:val="07515F65"/>
    <w:rsid w:val="07B748CD"/>
    <w:rsid w:val="08976E99"/>
    <w:rsid w:val="094D58C0"/>
    <w:rsid w:val="0A3ED878"/>
    <w:rsid w:val="0A4A7F78"/>
    <w:rsid w:val="0A507C89"/>
    <w:rsid w:val="0C11B37C"/>
    <w:rsid w:val="0CC4DBC6"/>
    <w:rsid w:val="0E1BE22B"/>
    <w:rsid w:val="0E2CF138"/>
    <w:rsid w:val="10E36CAF"/>
    <w:rsid w:val="127C8AA6"/>
    <w:rsid w:val="12B60F68"/>
    <w:rsid w:val="12F480CB"/>
    <w:rsid w:val="132A49C6"/>
    <w:rsid w:val="132C2344"/>
    <w:rsid w:val="13B2E13B"/>
    <w:rsid w:val="14F209D3"/>
    <w:rsid w:val="15253DD8"/>
    <w:rsid w:val="1577057F"/>
    <w:rsid w:val="16A395E2"/>
    <w:rsid w:val="16BEAC60"/>
    <w:rsid w:val="170DDACF"/>
    <w:rsid w:val="17538CBC"/>
    <w:rsid w:val="17FD2083"/>
    <w:rsid w:val="19826CD9"/>
    <w:rsid w:val="1A0A6E3F"/>
    <w:rsid w:val="1A0FA4E5"/>
    <w:rsid w:val="1A4C5C60"/>
    <w:rsid w:val="1A7C2BB9"/>
    <w:rsid w:val="1AF203D8"/>
    <w:rsid w:val="1BDE94B1"/>
    <w:rsid w:val="1CA6F4F8"/>
    <w:rsid w:val="1CB96FAD"/>
    <w:rsid w:val="1D24EDDF"/>
    <w:rsid w:val="1D7D42A2"/>
    <w:rsid w:val="1DE0D948"/>
    <w:rsid w:val="1DE78A4D"/>
    <w:rsid w:val="1DF3326B"/>
    <w:rsid w:val="1E5A27B8"/>
    <w:rsid w:val="214B1B66"/>
    <w:rsid w:val="215D4A0F"/>
    <w:rsid w:val="23A17BED"/>
    <w:rsid w:val="248A853D"/>
    <w:rsid w:val="24C7B2D0"/>
    <w:rsid w:val="24CD9F5B"/>
    <w:rsid w:val="251A27D0"/>
    <w:rsid w:val="2564E9E7"/>
    <w:rsid w:val="26016AA5"/>
    <w:rsid w:val="26118612"/>
    <w:rsid w:val="2629F0B4"/>
    <w:rsid w:val="26A0D0EF"/>
    <w:rsid w:val="27534EF8"/>
    <w:rsid w:val="27A59426"/>
    <w:rsid w:val="287F86B1"/>
    <w:rsid w:val="2896018D"/>
    <w:rsid w:val="28F63719"/>
    <w:rsid w:val="29648215"/>
    <w:rsid w:val="29C0FBF5"/>
    <w:rsid w:val="2AC3287C"/>
    <w:rsid w:val="2ADBDB1D"/>
    <w:rsid w:val="2B6C8ECE"/>
    <w:rsid w:val="2CB93673"/>
    <w:rsid w:val="2DA25097"/>
    <w:rsid w:val="2EBE9AD4"/>
    <w:rsid w:val="303CB943"/>
    <w:rsid w:val="3174A800"/>
    <w:rsid w:val="31950FA6"/>
    <w:rsid w:val="3224F622"/>
    <w:rsid w:val="325E90A3"/>
    <w:rsid w:val="3282A354"/>
    <w:rsid w:val="32B88EEE"/>
    <w:rsid w:val="345DCCCA"/>
    <w:rsid w:val="347B4A57"/>
    <w:rsid w:val="34F6C666"/>
    <w:rsid w:val="35406D62"/>
    <w:rsid w:val="355D3611"/>
    <w:rsid w:val="36D89927"/>
    <w:rsid w:val="36F0E68A"/>
    <w:rsid w:val="37854929"/>
    <w:rsid w:val="37F3A945"/>
    <w:rsid w:val="386840D1"/>
    <w:rsid w:val="38A3792E"/>
    <w:rsid w:val="397F7E9A"/>
    <w:rsid w:val="39D2043E"/>
    <w:rsid w:val="39EEBC32"/>
    <w:rsid w:val="3A4CC49C"/>
    <w:rsid w:val="3AAE6F47"/>
    <w:rsid w:val="3ACE47D0"/>
    <w:rsid w:val="3ADAAB08"/>
    <w:rsid w:val="3AE70FE6"/>
    <w:rsid w:val="3B6A7141"/>
    <w:rsid w:val="3B82CE6D"/>
    <w:rsid w:val="3D27177D"/>
    <w:rsid w:val="3EFF0004"/>
    <w:rsid w:val="3F29B9D2"/>
    <w:rsid w:val="3FD5BCE2"/>
    <w:rsid w:val="3FDB1455"/>
    <w:rsid w:val="40463F3B"/>
    <w:rsid w:val="40721D22"/>
    <w:rsid w:val="40E13AD1"/>
    <w:rsid w:val="416E5148"/>
    <w:rsid w:val="419D15D9"/>
    <w:rsid w:val="41D6B0CF"/>
    <w:rsid w:val="41EE30FC"/>
    <w:rsid w:val="4253C9FA"/>
    <w:rsid w:val="445AA703"/>
    <w:rsid w:val="45F41F49"/>
    <w:rsid w:val="46B50ADC"/>
    <w:rsid w:val="47C43536"/>
    <w:rsid w:val="481E28A2"/>
    <w:rsid w:val="4991FD5E"/>
    <w:rsid w:val="499B47F0"/>
    <w:rsid w:val="49DFC7FB"/>
    <w:rsid w:val="49EEC1E2"/>
    <w:rsid w:val="4BB1BD88"/>
    <w:rsid w:val="4C0F0931"/>
    <w:rsid w:val="4C88F772"/>
    <w:rsid w:val="4F10FFE3"/>
    <w:rsid w:val="4F5F3E97"/>
    <w:rsid w:val="4FA4CBA2"/>
    <w:rsid w:val="507D0650"/>
    <w:rsid w:val="5083A541"/>
    <w:rsid w:val="5092882B"/>
    <w:rsid w:val="5117ABB5"/>
    <w:rsid w:val="51404162"/>
    <w:rsid w:val="515C420D"/>
    <w:rsid w:val="5250C497"/>
    <w:rsid w:val="5294AF71"/>
    <w:rsid w:val="5315E2AA"/>
    <w:rsid w:val="53629287"/>
    <w:rsid w:val="540DDD19"/>
    <w:rsid w:val="551DA818"/>
    <w:rsid w:val="554FE16D"/>
    <w:rsid w:val="55581A28"/>
    <w:rsid w:val="5710240E"/>
    <w:rsid w:val="576CF03A"/>
    <w:rsid w:val="577221B2"/>
    <w:rsid w:val="57B864A1"/>
    <w:rsid w:val="57BB9FEF"/>
    <w:rsid w:val="57C693D4"/>
    <w:rsid w:val="584DE167"/>
    <w:rsid w:val="5885A639"/>
    <w:rsid w:val="58D3FBF1"/>
    <w:rsid w:val="592C0635"/>
    <w:rsid w:val="5CAEC709"/>
    <w:rsid w:val="5EE83326"/>
    <w:rsid w:val="5F7E0E99"/>
    <w:rsid w:val="5FA9FE49"/>
    <w:rsid w:val="5FAF98C0"/>
    <w:rsid w:val="6005CF4F"/>
    <w:rsid w:val="606DF618"/>
    <w:rsid w:val="608D9C73"/>
    <w:rsid w:val="60A93288"/>
    <w:rsid w:val="62078E3A"/>
    <w:rsid w:val="62363B4E"/>
    <w:rsid w:val="62A426D8"/>
    <w:rsid w:val="62D5930B"/>
    <w:rsid w:val="63FDF1BE"/>
    <w:rsid w:val="64074FA1"/>
    <w:rsid w:val="64BCB12C"/>
    <w:rsid w:val="66B667C8"/>
    <w:rsid w:val="67498971"/>
    <w:rsid w:val="6840FE86"/>
    <w:rsid w:val="689A9636"/>
    <w:rsid w:val="68E68490"/>
    <w:rsid w:val="694C5441"/>
    <w:rsid w:val="6A6D67A7"/>
    <w:rsid w:val="6EBA34D7"/>
    <w:rsid w:val="6EC3F60A"/>
    <w:rsid w:val="6F001469"/>
    <w:rsid w:val="70790EE8"/>
    <w:rsid w:val="70C6496F"/>
    <w:rsid w:val="7103FEA0"/>
    <w:rsid w:val="71B36864"/>
    <w:rsid w:val="71DDFA40"/>
    <w:rsid w:val="7248A2DE"/>
    <w:rsid w:val="72600A93"/>
    <w:rsid w:val="7271419B"/>
    <w:rsid w:val="72BEDEA2"/>
    <w:rsid w:val="740A76D2"/>
    <w:rsid w:val="74D58E7D"/>
    <w:rsid w:val="75E85B52"/>
    <w:rsid w:val="76055E29"/>
    <w:rsid w:val="76CBBD4B"/>
    <w:rsid w:val="77A5EA9C"/>
    <w:rsid w:val="78E6EDE4"/>
    <w:rsid w:val="7A1F7B17"/>
    <w:rsid w:val="7A9ABCD4"/>
    <w:rsid w:val="7AD6B790"/>
    <w:rsid w:val="7C2A40E9"/>
    <w:rsid w:val="7C301FC3"/>
    <w:rsid w:val="7C305B02"/>
    <w:rsid w:val="7C53BF6F"/>
    <w:rsid w:val="7C9B2858"/>
    <w:rsid w:val="7D3750BB"/>
    <w:rsid w:val="7D468B5E"/>
    <w:rsid w:val="7F5CC45E"/>
    <w:rsid w:val="7F61B94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9">
      <o:colormru v:ext="edit" colors="#f8f8f8"/>
    </o:shapedefaults>
    <o:shapelayout v:ext="edit">
      <o:idmap v:ext="edit" data="2"/>
    </o:shapelayout>
  </w:shapeDefaults>
  <w:decimalSymbol w:val="."/>
  <w:listSeparator w:val=","/>
  <w14:docId w14:val="3C4200D5"/>
  <w15:docId w15:val="{E7916E71-B02F-402A-92C8-02F64C284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link w:val="TitleChar"/>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34"/>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styleId="PlaceholderText">
    <w:name w:val="Placeholder Text"/>
    <w:basedOn w:val="DefaultParagraphFont"/>
    <w:uiPriority w:val="99"/>
    <w:semiHidden/>
    <w:rsid w:val="0012409B"/>
    <w:rPr>
      <w:color w:val="808080"/>
    </w:rPr>
  </w:style>
  <w:style w:type="character" w:customStyle="1" w:styleId="TitleChar">
    <w:name w:val="Title Char"/>
    <w:basedOn w:val="DefaultParagraphFont"/>
    <w:link w:val="Title"/>
    <w:rsid w:val="00080C1B"/>
    <w:rPr>
      <w:rFonts w:cs="Arial"/>
      <w:b/>
      <w:bCs/>
      <w:kern w:val="28"/>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21057796">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30455807">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0027815">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57955681">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45914405">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50705330">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1863489">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01885439">
      <w:bodyDiv w:val="1"/>
      <w:marLeft w:val="0"/>
      <w:marRight w:val="0"/>
      <w:marTop w:val="0"/>
      <w:marBottom w:val="0"/>
      <w:divBdr>
        <w:top w:val="none" w:sz="0" w:space="0" w:color="auto"/>
        <w:left w:val="none" w:sz="0" w:space="0" w:color="auto"/>
        <w:bottom w:val="none" w:sz="0" w:space="0" w:color="auto"/>
        <w:right w:val="none" w:sz="0" w:space="0" w:color="auto"/>
      </w:divBdr>
    </w:div>
    <w:div w:id="1309364884">
      <w:bodyDiv w:val="1"/>
      <w:marLeft w:val="0"/>
      <w:marRight w:val="0"/>
      <w:marTop w:val="0"/>
      <w:marBottom w:val="0"/>
      <w:divBdr>
        <w:top w:val="none" w:sz="0" w:space="0" w:color="auto"/>
        <w:left w:val="none" w:sz="0" w:space="0" w:color="auto"/>
        <w:bottom w:val="none" w:sz="0" w:space="0" w:color="auto"/>
        <w:right w:val="none" w:sz="0" w:space="0" w:color="auto"/>
      </w:divBdr>
    </w:div>
    <w:div w:id="1310745111">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53589160">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4907759">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1.wmf"/><Relationship Id="rId89" Type="http://schemas.openxmlformats.org/officeDocument/2006/relationships/image" Target="media/image76.png"/><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9.wmf"/><Relationship Id="rId2" Type="http://schemas.openxmlformats.org/officeDocument/2006/relationships/customXml" Target="../customXml/item2.xml"/><Relationship Id="rId16" Type="http://schemas.openxmlformats.org/officeDocument/2006/relationships/image" Target="media/image4.emf"/><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wmf"/><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image" Target="media/image33.wmf"/><Relationship Id="rId53" Type="http://schemas.openxmlformats.org/officeDocument/2006/relationships/image" Target="media/image41.wmf"/><Relationship Id="rId58" Type="http://schemas.openxmlformats.org/officeDocument/2006/relationships/image" Target="media/image46.wmf"/><Relationship Id="rId66" Type="http://schemas.openxmlformats.org/officeDocument/2006/relationships/image" Target="media/image54.wmf"/><Relationship Id="rId74" Type="http://schemas.openxmlformats.org/officeDocument/2006/relationships/image" Target="media/image62.png"/><Relationship Id="rId79" Type="http://schemas.openxmlformats.org/officeDocument/2006/relationships/image" Target="media/image66.wmf"/><Relationship Id="rId87" Type="http://schemas.openxmlformats.org/officeDocument/2006/relationships/image" Target="media/image74.png"/><Relationship Id="rId102" Type="http://schemas.openxmlformats.org/officeDocument/2006/relationships/footer" Target="footer2.xml"/><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7.wmf"/><Relationship Id="rId95" Type="http://schemas.openxmlformats.org/officeDocument/2006/relationships/image" Target="media/image82.wmf"/><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header" Target="header2.xml"/><Relationship Id="rId105" Type="http://schemas.microsoft.com/office/2011/relationships/people" Target="people.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png"/><Relationship Id="rId80" Type="http://schemas.openxmlformats.org/officeDocument/2006/relationships/image" Target="media/image67.wmf"/><Relationship Id="rId85" Type="http://schemas.openxmlformats.org/officeDocument/2006/relationships/image" Target="media/image72.wmf"/><Relationship Id="rId93" Type="http://schemas.openxmlformats.org/officeDocument/2006/relationships/image" Target="media/image80.wmf"/><Relationship Id="rId98" Type="http://schemas.openxmlformats.org/officeDocument/2006/relationships/image" Target="media/image85.png"/><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header" Target="header3.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chart" Target="charts/chart1.xml"/><Relationship Id="rId83" Type="http://schemas.openxmlformats.org/officeDocument/2006/relationships/image" Target="media/image70.wmf"/><Relationship Id="rId88" Type="http://schemas.openxmlformats.org/officeDocument/2006/relationships/image" Target="media/image75.png"/><Relationship Id="rId91" Type="http://schemas.openxmlformats.org/officeDocument/2006/relationships/image" Target="media/image78.wmf"/><Relationship Id="rId96" Type="http://schemas.openxmlformats.org/officeDocument/2006/relationships/image" Target="media/image83.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openxmlformats.org/officeDocument/2006/relationships/theme" Target="theme/theme1.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wmf"/><Relationship Id="rId78" Type="http://schemas.openxmlformats.org/officeDocument/2006/relationships/image" Target="media/image65.png"/><Relationship Id="rId81" Type="http://schemas.openxmlformats.org/officeDocument/2006/relationships/image" Target="media/image68.wmf"/><Relationship Id="rId86" Type="http://schemas.openxmlformats.org/officeDocument/2006/relationships/image" Target="media/image73.wmf"/><Relationship Id="rId94" Type="http://schemas.openxmlformats.org/officeDocument/2006/relationships/image" Target="media/image81.wmf"/><Relationship Id="rId99" Type="http://schemas.openxmlformats.org/officeDocument/2006/relationships/header" Target="header1.xml"/><Relationship Id="rId10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image" Target="media/image63.wmf"/><Relationship Id="rId97" Type="http://schemas.openxmlformats.org/officeDocument/2006/relationships/image" Target="media/image84.wmf"/><Relationship Id="rId10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isl xmlns:xsi="http://www.w3.org/2001/XMLSchema-instance" xmlns:xsd="http://www.w3.org/2001/XMLSchema" xmlns="http://www.boldonjames.com/2008/01/sie/internal/label" sislVersion="0" policy="973096ae-7329-4b3b-9368-47aeba6959e1"/>
</file>

<file path=customXml/item6.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2.xml><?xml version="1.0" encoding="utf-8"?>
<ds:datastoreItem xmlns:ds="http://schemas.openxmlformats.org/officeDocument/2006/customXml" ds:itemID="{73174AC9-19D2-4651-BECE-15F80D782ABC}">
  <ds:schemaRefs>
    <ds:schemaRef ds:uri="http://www.imanage.com/work/xmlschema"/>
  </ds:schemaRefs>
</ds:datastoreItem>
</file>

<file path=customXml/itemProps3.xml><?xml version="1.0" encoding="utf-8"?>
<ds:datastoreItem xmlns:ds="http://schemas.openxmlformats.org/officeDocument/2006/customXml" ds:itemID="{1388839A-3007-4153-A994-593C3F716B90}">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4.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5.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ACBCC4FE-398D-4DA8-9E80-20B8A9C33C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Template>
  <TotalTime>4</TotalTime>
  <Pages>150</Pages>
  <Words>43956</Words>
  <Characters>250552</Characters>
  <Application>Microsoft Office Word</Application>
  <DocSecurity>8</DocSecurity>
  <Lines>2087</Lines>
  <Paragraphs>587</Paragraphs>
  <ScaleCrop>false</ScaleCrop>
  <Company/>
  <LinksUpToDate>false</LinksUpToDate>
  <CharactersWithSpaces>293921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dc:title>
  <dc:subject>CUSC Section 14</dc:subject>
  <dc:creator>Tammy Meek (NESO)</dc:creator>
  <cp:keywords/>
  <dc:description/>
  <cp:lastModifiedBy>Lizzie Timmins (NESO)</cp:lastModifiedBy>
  <cp:revision>3</cp:revision>
  <cp:lastPrinted>2025-04-07T10:37:00Z</cp:lastPrinted>
  <dcterms:created xsi:type="dcterms:W3CDTF">2025-06-19T08:24:00Z</dcterms:created>
  <dcterms:modified xsi:type="dcterms:W3CDTF">2025-06-19T08:30:00Z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